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2FF" w:rsidRPr="00577464" w:rsidRDefault="007E32FF" w:rsidP="007E32FF">
      <w:pPr>
        <w:jc w:val="center"/>
        <w:rPr>
          <w:rFonts w:ascii="Verdana" w:hAnsi="Verdana"/>
          <w:b/>
          <w:sz w:val="36"/>
          <w:szCs w:val="36"/>
          <w:u w:val="single"/>
        </w:rPr>
      </w:pPr>
      <w:r>
        <w:rPr>
          <w:rFonts w:ascii="Verdana" w:hAnsi="Verdana"/>
          <w:b/>
          <w:sz w:val="36"/>
          <w:szCs w:val="36"/>
          <w:u w:val="single"/>
        </w:rPr>
        <w:t>PAPER</w:t>
      </w:r>
    </w:p>
    <w:p w:rsidR="007E32FF" w:rsidRPr="00333CDD" w:rsidRDefault="007E32FF" w:rsidP="007E32FF">
      <w:pPr>
        <w:jc w:val="center"/>
        <w:rPr>
          <w:rFonts w:ascii="Arial Rounded MT Bold" w:hAnsi="Arial Rounded MT Bold"/>
          <w:color w:val="FF0000"/>
          <w:sz w:val="32"/>
          <w:szCs w:val="32"/>
          <w:u w:val="single"/>
        </w:rPr>
      </w:pPr>
      <w:r w:rsidRPr="00244487">
        <w:rPr>
          <w:rFonts w:ascii="TimesNewRomanPS-BoldMT" w:hAnsi="TimesNewRomanPS-BoldMT" w:cs="TimesNewRomanPS-BoldMT"/>
          <w:b/>
          <w:bCs/>
          <w:color w:val="000000" w:themeColor="text1"/>
          <w:sz w:val="32"/>
          <w:szCs w:val="32"/>
        </w:rPr>
        <w:t>TITLE</w:t>
      </w:r>
      <w:r w:rsidRPr="00244487">
        <w:rPr>
          <w:rFonts w:ascii="TimesNewRomanPS-BoldMT" w:hAnsi="TimesNewRomanPS-BoldMT" w:cs="TimesNewRomanPS-BoldMT"/>
          <w:bCs/>
          <w:color w:val="000000" w:themeColor="text1"/>
          <w:sz w:val="32"/>
          <w:szCs w:val="32"/>
        </w:rPr>
        <w:t xml:space="preserve"> – “</w:t>
      </w:r>
      <w:r w:rsidRPr="00D60030">
        <w:rPr>
          <w:rFonts w:ascii="Verdana" w:eastAsia="Times New Roman" w:hAnsi="Verdana" w:cs="Times New Roman"/>
          <w:b/>
          <w:color w:val="000000"/>
          <w:sz w:val="32"/>
          <w:szCs w:val="32"/>
          <w:u w:val="single"/>
          <w:shd w:val="clear" w:color="auto" w:fill="FFFFFF"/>
        </w:rPr>
        <w:t>AIRLINE LIABILITY AND INSURANCE</w:t>
      </w:r>
      <w:r w:rsidRPr="00333CDD">
        <w:rPr>
          <w:rFonts w:ascii="TimesNewRomanPS-BoldMT" w:hAnsi="TimesNewRomanPS-BoldMT" w:cs="TimesNewRomanPS-BoldMT"/>
          <w:bCs/>
          <w:color w:val="FF0000"/>
          <w:sz w:val="32"/>
          <w:szCs w:val="32"/>
        </w:rPr>
        <w:t>”</w:t>
      </w:r>
    </w:p>
    <w:p w:rsidR="007E32FF" w:rsidRDefault="007E32FF" w:rsidP="007E32FF">
      <w:pPr>
        <w:jc w:val="center"/>
        <w:rPr>
          <w:rFonts w:ascii="Arial Rounded MT Bold" w:hAnsi="Arial Rounded MT Bold"/>
          <w:color w:val="FF0000"/>
          <w:sz w:val="40"/>
          <w:szCs w:val="40"/>
        </w:rPr>
      </w:pPr>
    </w:p>
    <w:p w:rsidR="007E32FF" w:rsidRPr="001448B4" w:rsidRDefault="007E32FF" w:rsidP="007E32FF">
      <w:pPr>
        <w:jc w:val="center"/>
        <w:rPr>
          <w:rFonts w:ascii="Arial Rounded MT Bold" w:hAnsi="Arial Rounded MT Bold"/>
          <w:color w:val="FF0000"/>
          <w:sz w:val="40"/>
          <w:szCs w:val="40"/>
        </w:rPr>
      </w:pPr>
    </w:p>
    <w:p w:rsidR="007E32FF" w:rsidRPr="00833F83" w:rsidRDefault="007E32FF" w:rsidP="007E32FF">
      <w:pPr>
        <w:rPr>
          <w:rFonts w:ascii="Times New Roman" w:hAnsi="Times New Roman" w:cs="Times New Roman"/>
          <w:color w:val="000000" w:themeColor="text1"/>
          <w:sz w:val="34"/>
          <w:szCs w:val="34"/>
        </w:rPr>
      </w:pPr>
      <w:r w:rsidRPr="00833F83">
        <w:rPr>
          <w:rFonts w:ascii="Times New Roman" w:hAnsi="Times New Roman" w:cs="Times New Roman"/>
          <w:color w:val="000000" w:themeColor="text1"/>
          <w:sz w:val="34"/>
          <w:szCs w:val="34"/>
        </w:rPr>
        <w:t>NAME:  SHAHRUKH KHAN</w:t>
      </w:r>
      <w:r w:rsidR="00DB6610">
        <w:rPr>
          <w:rFonts w:ascii="Times New Roman" w:hAnsi="Times New Roman" w:cs="Times New Roman"/>
          <w:color w:val="000000" w:themeColor="text1"/>
          <w:sz w:val="34"/>
          <w:szCs w:val="34"/>
        </w:rPr>
        <w:t xml:space="preserve"> &amp; NAVEEN GOUR</w:t>
      </w:r>
    </w:p>
    <w:p w:rsidR="007E32FF" w:rsidRPr="00833F83" w:rsidRDefault="007E32FF" w:rsidP="007E32FF">
      <w:pPr>
        <w:rPr>
          <w:rFonts w:ascii="Times New Roman" w:hAnsi="Times New Roman" w:cs="Times New Roman"/>
          <w:color w:val="000000" w:themeColor="text1"/>
          <w:sz w:val="34"/>
          <w:szCs w:val="34"/>
        </w:rPr>
      </w:pPr>
      <w:r w:rsidRPr="00833F83">
        <w:rPr>
          <w:rFonts w:ascii="Times New Roman" w:hAnsi="Times New Roman" w:cs="Times New Roman"/>
          <w:color w:val="000000" w:themeColor="text1"/>
          <w:sz w:val="34"/>
          <w:szCs w:val="34"/>
        </w:rPr>
        <w:t>DESIGNATION:  STUDENT, B.COM LLB (</w:t>
      </w:r>
      <w:proofErr w:type="spellStart"/>
      <w:r w:rsidRPr="00833F83">
        <w:rPr>
          <w:rFonts w:ascii="Times New Roman" w:hAnsi="Times New Roman" w:cs="Times New Roman"/>
          <w:color w:val="000000" w:themeColor="text1"/>
          <w:sz w:val="34"/>
          <w:szCs w:val="34"/>
        </w:rPr>
        <w:t>Hons</w:t>
      </w:r>
      <w:proofErr w:type="spellEnd"/>
      <w:r w:rsidRPr="00833F83">
        <w:rPr>
          <w:rFonts w:ascii="Times New Roman" w:hAnsi="Times New Roman" w:cs="Times New Roman"/>
          <w:color w:val="000000" w:themeColor="text1"/>
          <w:sz w:val="34"/>
          <w:szCs w:val="34"/>
        </w:rPr>
        <w:t>.) 2</w:t>
      </w:r>
      <w:r w:rsidRPr="00833F83">
        <w:rPr>
          <w:rFonts w:ascii="Times New Roman" w:hAnsi="Times New Roman" w:cs="Times New Roman"/>
          <w:color w:val="000000" w:themeColor="text1"/>
          <w:sz w:val="34"/>
          <w:szCs w:val="34"/>
          <w:vertAlign w:val="superscript"/>
        </w:rPr>
        <w:t>nd</w:t>
      </w:r>
      <w:r w:rsidRPr="00833F83">
        <w:rPr>
          <w:rFonts w:ascii="Times New Roman" w:hAnsi="Times New Roman" w:cs="Times New Roman"/>
          <w:color w:val="000000" w:themeColor="text1"/>
          <w:sz w:val="34"/>
          <w:szCs w:val="34"/>
        </w:rPr>
        <w:t xml:space="preserve"> Year</w:t>
      </w:r>
    </w:p>
    <w:p w:rsidR="007E32FF" w:rsidRPr="00833F83" w:rsidRDefault="007E32FF" w:rsidP="007E32FF">
      <w:pPr>
        <w:rPr>
          <w:rFonts w:ascii="Times New Roman" w:hAnsi="Times New Roman" w:cs="Times New Roman"/>
          <w:color w:val="000000" w:themeColor="text1"/>
          <w:sz w:val="34"/>
          <w:szCs w:val="34"/>
        </w:rPr>
      </w:pPr>
      <w:r w:rsidRPr="00833F83">
        <w:rPr>
          <w:rFonts w:ascii="Times New Roman" w:hAnsi="Times New Roman" w:cs="Times New Roman"/>
          <w:color w:val="000000" w:themeColor="text1"/>
          <w:sz w:val="34"/>
          <w:szCs w:val="34"/>
        </w:rPr>
        <w:t>AFFILIATION:  NIRMA UNIVERSITY, INSTITUTE OF LAW</w:t>
      </w:r>
    </w:p>
    <w:p w:rsidR="007E32FF" w:rsidRDefault="007E32FF" w:rsidP="007E32FF">
      <w:pPr>
        <w:rPr>
          <w:rFonts w:ascii="Times New Roman" w:hAnsi="Times New Roman" w:cs="Times New Roman"/>
          <w:color w:val="000000" w:themeColor="text1"/>
          <w:sz w:val="34"/>
          <w:szCs w:val="34"/>
          <w:u w:val="single"/>
        </w:rPr>
      </w:pPr>
      <w:r w:rsidRPr="00833F83">
        <w:rPr>
          <w:rFonts w:ascii="Times New Roman" w:hAnsi="Times New Roman" w:cs="Times New Roman"/>
          <w:color w:val="000000" w:themeColor="text1"/>
          <w:sz w:val="34"/>
          <w:szCs w:val="34"/>
        </w:rPr>
        <w:t>E-MAIL ID:</w:t>
      </w:r>
      <w:r>
        <w:rPr>
          <w:rFonts w:ascii="Times New Roman" w:hAnsi="Times New Roman" w:cs="Times New Roman"/>
          <w:color w:val="000000" w:themeColor="text1"/>
          <w:sz w:val="34"/>
          <w:szCs w:val="34"/>
        </w:rPr>
        <w:t xml:space="preserve">  </w:t>
      </w:r>
      <w:hyperlink r:id="rId6" w:history="1">
        <w:r w:rsidRPr="00C437BB">
          <w:rPr>
            <w:rStyle w:val="Hyperlink"/>
            <w:rFonts w:ascii="Times New Roman" w:hAnsi="Times New Roman" w:cs="Times New Roman"/>
            <w:sz w:val="34"/>
            <w:szCs w:val="34"/>
          </w:rPr>
          <w:t>10BBL079@nirmauni.ac.in</w:t>
        </w:r>
      </w:hyperlink>
      <w:r>
        <w:rPr>
          <w:rFonts w:ascii="Times New Roman" w:hAnsi="Times New Roman" w:cs="Times New Roman"/>
          <w:color w:val="000000" w:themeColor="text1"/>
          <w:sz w:val="34"/>
          <w:szCs w:val="34"/>
        </w:rPr>
        <w:t xml:space="preserve"> </w:t>
      </w:r>
      <w:r w:rsidRPr="00A94BE1">
        <w:rPr>
          <w:rFonts w:ascii="Times New Roman" w:hAnsi="Times New Roman" w:cs="Times New Roman"/>
          <w:color w:val="000000" w:themeColor="text1"/>
          <w:sz w:val="34"/>
          <w:szCs w:val="34"/>
          <w:u w:val="single"/>
        </w:rPr>
        <w:t xml:space="preserve">, </w:t>
      </w:r>
      <w:hyperlink r:id="rId7" w:history="1">
        <w:r w:rsidRPr="00C437BB">
          <w:rPr>
            <w:rStyle w:val="Hyperlink"/>
            <w:rFonts w:ascii="Times New Roman" w:hAnsi="Times New Roman" w:cs="Times New Roman"/>
            <w:sz w:val="34"/>
            <w:szCs w:val="34"/>
          </w:rPr>
          <w:t>srklaw19@gmail.com</w:t>
        </w:r>
      </w:hyperlink>
    </w:p>
    <w:p w:rsidR="007E32FF" w:rsidRDefault="007E32FF" w:rsidP="007E32FF">
      <w:pPr>
        <w:rPr>
          <w:rFonts w:ascii="Times New Roman" w:hAnsi="Times New Roman" w:cs="Times New Roman"/>
          <w:color w:val="000000" w:themeColor="text1"/>
          <w:sz w:val="34"/>
          <w:szCs w:val="34"/>
        </w:rPr>
      </w:pPr>
      <w:r>
        <w:rPr>
          <w:rFonts w:ascii="Times New Roman" w:hAnsi="Times New Roman" w:cs="Times New Roman"/>
          <w:color w:val="000000" w:themeColor="text1"/>
          <w:sz w:val="34"/>
          <w:szCs w:val="34"/>
        </w:rPr>
        <w:t>PHONE NO</w:t>
      </w:r>
      <w:r w:rsidRPr="00833F83">
        <w:rPr>
          <w:rFonts w:ascii="Times New Roman" w:hAnsi="Times New Roman" w:cs="Times New Roman"/>
          <w:color w:val="000000" w:themeColor="text1"/>
          <w:sz w:val="34"/>
          <w:szCs w:val="34"/>
        </w:rPr>
        <w:t>:</w:t>
      </w:r>
      <w:r>
        <w:rPr>
          <w:rFonts w:ascii="Times New Roman" w:hAnsi="Times New Roman" w:cs="Times New Roman"/>
          <w:color w:val="000000" w:themeColor="text1"/>
          <w:sz w:val="34"/>
          <w:szCs w:val="34"/>
        </w:rPr>
        <w:t xml:space="preserve">  9726775617, 8952960879</w:t>
      </w: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autoSpaceDE w:val="0"/>
        <w:autoSpaceDN w:val="0"/>
        <w:adjustRightInd w:val="0"/>
        <w:spacing w:after="0" w:line="240" w:lineRule="auto"/>
        <w:jc w:val="center"/>
        <w:rPr>
          <w:rFonts w:ascii="TimesNewRomanPS-BoldMT" w:hAnsi="TimesNewRomanPS-BoldMT" w:cs="TimesNewRomanPS-BoldMT"/>
          <w:bCs/>
          <w:color w:val="FF0000"/>
          <w:sz w:val="32"/>
          <w:szCs w:val="32"/>
        </w:rPr>
      </w:pPr>
    </w:p>
    <w:p w:rsidR="007E32FF" w:rsidRDefault="007E32FF" w:rsidP="007E32FF">
      <w:pPr>
        <w:pStyle w:val="ListParagraph"/>
        <w:spacing w:after="0" w:line="360" w:lineRule="auto"/>
        <w:ind w:left="0"/>
        <w:jc w:val="center"/>
        <w:rPr>
          <w:rFonts w:ascii="TimesNewRomanPS-BoldMT" w:hAnsi="TimesNewRomanPS-BoldMT" w:cs="TimesNewRomanPS-BoldMT"/>
          <w:bCs/>
          <w:color w:val="FF0000"/>
          <w:sz w:val="32"/>
          <w:szCs w:val="32"/>
        </w:rPr>
      </w:pPr>
    </w:p>
    <w:p w:rsidR="007E32FF" w:rsidRDefault="007E32FF" w:rsidP="007E32FF">
      <w:pPr>
        <w:pStyle w:val="ListParagraph"/>
        <w:spacing w:after="0" w:line="360" w:lineRule="auto"/>
        <w:ind w:left="0"/>
        <w:jc w:val="center"/>
        <w:rPr>
          <w:rFonts w:ascii="TimesNewRomanPS-BoldMT" w:hAnsi="TimesNewRomanPS-BoldMT" w:cs="TimesNewRomanPS-BoldMT"/>
          <w:bCs/>
          <w:color w:val="FF0000"/>
          <w:sz w:val="32"/>
          <w:szCs w:val="32"/>
        </w:rPr>
      </w:pPr>
    </w:p>
    <w:p w:rsidR="007E32FF" w:rsidRDefault="007E32FF" w:rsidP="007E32FF">
      <w:pPr>
        <w:pStyle w:val="ListParagraph"/>
        <w:spacing w:after="0" w:line="360" w:lineRule="auto"/>
        <w:ind w:left="0"/>
        <w:jc w:val="center"/>
        <w:rPr>
          <w:rFonts w:ascii="TimesNewRomanPS-BoldMT" w:hAnsi="TimesNewRomanPS-BoldMT" w:cs="TimesNewRomanPS-BoldMT"/>
          <w:bCs/>
          <w:color w:val="FF0000"/>
          <w:sz w:val="32"/>
          <w:szCs w:val="32"/>
        </w:rPr>
      </w:pPr>
    </w:p>
    <w:p w:rsidR="007E32FF" w:rsidRDefault="007E32FF" w:rsidP="007E32FF">
      <w:pPr>
        <w:spacing w:line="360" w:lineRule="auto"/>
        <w:jc w:val="center"/>
        <w:rPr>
          <w:rFonts w:ascii="Arial Rounded MT Bold" w:hAnsi="Arial Rounded MT Bold" w:cs="TimesNewRomanPS-BoldMT"/>
          <w:bCs/>
          <w:color w:val="000000" w:themeColor="text1"/>
          <w:sz w:val="32"/>
          <w:szCs w:val="32"/>
        </w:rPr>
      </w:pPr>
    </w:p>
    <w:p w:rsidR="007E32FF" w:rsidRDefault="007E32FF" w:rsidP="007E32FF">
      <w:pPr>
        <w:spacing w:line="360" w:lineRule="auto"/>
        <w:jc w:val="center"/>
        <w:rPr>
          <w:rFonts w:ascii="Arial Rounded MT Bold" w:hAnsi="Arial Rounded MT Bold" w:cs="TimesNewRomanPS-BoldMT"/>
          <w:bCs/>
          <w:color w:val="000000" w:themeColor="text1"/>
          <w:sz w:val="32"/>
          <w:szCs w:val="32"/>
        </w:rPr>
      </w:pPr>
    </w:p>
    <w:p w:rsidR="00E520D3" w:rsidRDefault="00E520D3" w:rsidP="007E32FF">
      <w:pPr>
        <w:spacing w:line="360" w:lineRule="auto"/>
        <w:jc w:val="center"/>
        <w:rPr>
          <w:rFonts w:ascii="Arial Rounded MT Bold" w:hAnsi="Arial Rounded MT Bold" w:cs="TimesNewRomanPS-BoldMT"/>
          <w:bCs/>
          <w:color w:val="000000" w:themeColor="text1"/>
          <w:sz w:val="32"/>
          <w:szCs w:val="32"/>
        </w:rPr>
      </w:pPr>
    </w:p>
    <w:p w:rsidR="00E520D3" w:rsidRDefault="00E520D3" w:rsidP="007E32FF">
      <w:pPr>
        <w:spacing w:line="360" w:lineRule="auto"/>
        <w:jc w:val="center"/>
        <w:rPr>
          <w:rFonts w:ascii="Arial Rounded MT Bold" w:hAnsi="Arial Rounded MT Bold" w:cs="TimesNewRomanPS-BoldMT"/>
          <w:bCs/>
          <w:color w:val="000000" w:themeColor="text1"/>
          <w:sz w:val="32"/>
          <w:szCs w:val="32"/>
        </w:rPr>
      </w:pPr>
    </w:p>
    <w:p w:rsidR="007E32FF" w:rsidRDefault="002F515D" w:rsidP="007E32FF">
      <w:pPr>
        <w:spacing w:line="360" w:lineRule="auto"/>
        <w:jc w:val="center"/>
        <w:rPr>
          <w:rFonts w:ascii="Arial Rounded MT Bold" w:hAnsi="Arial Rounded MT Bold" w:cs="TimesNewRomanPS-BoldMT"/>
          <w:bCs/>
          <w:color w:val="000000" w:themeColor="text1"/>
          <w:sz w:val="32"/>
          <w:szCs w:val="32"/>
        </w:rPr>
      </w:pPr>
      <w:r>
        <w:rPr>
          <w:rFonts w:ascii="Arial Rounded MT Bold" w:hAnsi="Arial Rounded MT Bold" w:cs="TimesNewRomanPS-BoldMT"/>
          <w:bCs/>
          <w:color w:val="000000" w:themeColor="text1"/>
          <w:sz w:val="32"/>
          <w:szCs w:val="32"/>
        </w:rPr>
        <w:t>Airline Liability and Insurance</w:t>
      </w:r>
    </w:p>
    <w:p w:rsidR="002F515D" w:rsidRDefault="002F515D" w:rsidP="007E32FF">
      <w:pPr>
        <w:spacing w:line="360" w:lineRule="auto"/>
        <w:jc w:val="center"/>
        <w:rPr>
          <w:rFonts w:ascii="Arial Rounded MT Bold" w:hAnsi="Arial Rounded MT Bold" w:cs="TimesNewRomanPS-BoldMT"/>
          <w:bCs/>
          <w:color w:val="000000" w:themeColor="text1"/>
          <w:sz w:val="32"/>
          <w:szCs w:val="32"/>
        </w:rPr>
      </w:pPr>
    </w:p>
    <w:p w:rsidR="002F515D" w:rsidRDefault="002F515D" w:rsidP="007E32FF">
      <w:pPr>
        <w:spacing w:line="360" w:lineRule="auto"/>
        <w:jc w:val="center"/>
        <w:rPr>
          <w:rFonts w:ascii="Arial Rounded MT Bold" w:hAnsi="Arial Rounded MT Bold" w:cs="TimesNewRomanPS-BoldMT"/>
          <w:bCs/>
          <w:color w:val="000000" w:themeColor="text1"/>
          <w:sz w:val="32"/>
          <w:szCs w:val="32"/>
        </w:rPr>
      </w:pPr>
    </w:p>
    <w:p w:rsidR="002F515D" w:rsidRDefault="002F515D" w:rsidP="007E32FF">
      <w:pPr>
        <w:spacing w:line="360" w:lineRule="auto"/>
        <w:jc w:val="center"/>
        <w:rPr>
          <w:rFonts w:ascii="Arial Rounded MT Bold" w:hAnsi="Arial Rounded MT Bold" w:cs="TimesNewRomanPS-BoldMT"/>
          <w:bCs/>
          <w:color w:val="000000" w:themeColor="text1"/>
          <w:sz w:val="32"/>
          <w:szCs w:val="32"/>
        </w:rPr>
      </w:pPr>
    </w:p>
    <w:p w:rsidR="007E32FF" w:rsidRDefault="007E32FF" w:rsidP="007E32FF">
      <w:pPr>
        <w:spacing w:line="360" w:lineRule="auto"/>
        <w:jc w:val="center"/>
        <w:rPr>
          <w:rFonts w:ascii="Arial Rounded MT Bold" w:hAnsi="Arial Rounded MT Bold" w:cs="TimesNewRomanPS-BoldMT"/>
          <w:bCs/>
          <w:color w:val="000000" w:themeColor="text1"/>
          <w:sz w:val="32"/>
          <w:szCs w:val="32"/>
        </w:rPr>
      </w:pPr>
      <w:proofErr w:type="spellStart"/>
      <w:r>
        <w:rPr>
          <w:rFonts w:ascii="Arial Rounded MT Bold" w:hAnsi="Arial Rounded MT Bold" w:cs="TimesNewRomanPS-BoldMT"/>
          <w:bCs/>
          <w:color w:val="000000" w:themeColor="text1"/>
          <w:sz w:val="32"/>
          <w:szCs w:val="32"/>
        </w:rPr>
        <w:t>Shahrukh</w:t>
      </w:r>
      <w:proofErr w:type="spellEnd"/>
      <w:r>
        <w:rPr>
          <w:rFonts w:ascii="Arial Rounded MT Bold" w:hAnsi="Arial Rounded MT Bold" w:cs="TimesNewRomanPS-BoldMT"/>
          <w:bCs/>
          <w:color w:val="000000" w:themeColor="text1"/>
          <w:sz w:val="32"/>
          <w:szCs w:val="32"/>
        </w:rPr>
        <w:t xml:space="preserve"> Khan</w:t>
      </w:r>
    </w:p>
    <w:p w:rsidR="007E32FF" w:rsidRDefault="00705710" w:rsidP="007E32FF">
      <w:pPr>
        <w:spacing w:line="360" w:lineRule="auto"/>
        <w:jc w:val="center"/>
        <w:rPr>
          <w:rFonts w:ascii="Arial Rounded MT Bold" w:hAnsi="Arial Rounded MT Bold" w:cs="TimesNewRomanPS-BoldMT"/>
          <w:bCs/>
          <w:color w:val="000000" w:themeColor="text1"/>
          <w:sz w:val="32"/>
          <w:szCs w:val="32"/>
        </w:rPr>
      </w:pPr>
      <w:r>
        <w:rPr>
          <w:rFonts w:ascii="Arial Rounded MT Bold" w:hAnsi="Arial Rounded MT Bold" w:cs="TimesNewRomanPS-BoldMT"/>
          <w:bCs/>
          <w:color w:val="000000" w:themeColor="text1"/>
          <w:sz w:val="32"/>
          <w:szCs w:val="32"/>
        </w:rPr>
        <w:t>&amp;</w:t>
      </w:r>
    </w:p>
    <w:p w:rsidR="00705710" w:rsidRDefault="00705710" w:rsidP="007E32FF">
      <w:pPr>
        <w:spacing w:line="360" w:lineRule="auto"/>
        <w:jc w:val="center"/>
        <w:rPr>
          <w:rFonts w:ascii="Arial Rounded MT Bold" w:hAnsi="Arial Rounded MT Bold" w:cs="TimesNewRomanPS-BoldMT"/>
          <w:bCs/>
          <w:color w:val="000000" w:themeColor="text1"/>
          <w:sz w:val="32"/>
          <w:szCs w:val="32"/>
        </w:rPr>
      </w:pPr>
      <w:proofErr w:type="spellStart"/>
      <w:r>
        <w:rPr>
          <w:rFonts w:ascii="Arial Rounded MT Bold" w:hAnsi="Arial Rounded MT Bold" w:cs="TimesNewRomanPS-BoldMT"/>
          <w:bCs/>
          <w:color w:val="000000" w:themeColor="text1"/>
          <w:sz w:val="32"/>
          <w:szCs w:val="32"/>
        </w:rPr>
        <w:t>Naveen</w:t>
      </w:r>
      <w:proofErr w:type="spellEnd"/>
      <w:r>
        <w:rPr>
          <w:rFonts w:ascii="Arial Rounded MT Bold" w:hAnsi="Arial Rounded MT Bold" w:cs="TimesNewRomanPS-BoldMT"/>
          <w:bCs/>
          <w:color w:val="000000" w:themeColor="text1"/>
          <w:sz w:val="32"/>
          <w:szCs w:val="32"/>
        </w:rPr>
        <w:t xml:space="preserve"> </w:t>
      </w:r>
      <w:proofErr w:type="spellStart"/>
      <w:r>
        <w:rPr>
          <w:rFonts w:ascii="Arial Rounded MT Bold" w:hAnsi="Arial Rounded MT Bold" w:cs="TimesNewRomanPS-BoldMT"/>
          <w:bCs/>
          <w:color w:val="000000" w:themeColor="text1"/>
          <w:sz w:val="32"/>
          <w:szCs w:val="32"/>
        </w:rPr>
        <w:t>Gour</w:t>
      </w:r>
      <w:proofErr w:type="spellEnd"/>
    </w:p>
    <w:p w:rsidR="007E32FF" w:rsidRDefault="007E32FF" w:rsidP="007E32FF">
      <w:pPr>
        <w:spacing w:line="360" w:lineRule="auto"/>
        <w:jc w:val="center"/>
        <w:rPr>
          <w:rFonts w:ascii="Arial Rounded MT Bold" w:hAnsi="Arial Rounded MT Bold" w:cs="TimesNewRomanPS-BoldMT"/>
          <w:bCs/>
          <w:color w:val="000000" w:themeColor="text1"/>
          <w:sz w:val="32"/>
          <w:szCs w:val="32"/>
        </w:rPr>
      </w:pPr>
    </w:p>
    <w:p w:rsidR="007E32FF" w:rsidRDefault="007E32FF" w:rsidP="007E32FF">
      <w:pPr>
        <w:spacing w:line="360" w:lineRule="auto"/>
        <w:jc w:val="center"/>
        <w:rPr>
          <w:rFonts w:ascii="Arial Rounded MT Bold" w:hAnsi="Arial Rounded MT Bold" w:cs="TimesNewRomanPS-BoldMT"/>
          <w:bCs/>
          <w:color w:val="000000" w:themeColor="text1"/>
          <w:sz w:val="32"/>
          <w:szCs w:val="32"/>
        </w:rPr>
      </w:pPr>
    </w:p>
    <w:p w:rsidR="007E32FF" w:rsidRDefault="007E32FF" w:rsidP="007E32FF">
      <w:pPr>
        <w:spacing w:line="360" w:lineRule="auto"/>
        <w:jc w:val="center"/>
        <w:rPr>
          <w:rFonts w:ascii="Arial Rounded MT Bold" w:hAnsi="Arial Rounded MT Bold" w:cs="TimesNewRomanPS-BoldMT"/>
          <w:bCs/>
          <w:color w:val="000000" w:themeColor="text1"/>
          <w:sz w:val="32"/>
          <w:szCs w:val="32"/>
        </w:rPr>
      </w:pPr>
    </w:p>
    <w:p w:rsidR="007E32FF" w:rsidRDefault="007E32FF" w:rsidP="007E32FF">
      <w:pPr>
        <w:spacing w:line="360" w:lineRule="auto"/>
        <w:jc w:val="center"/>
        <w:rPr>
          <w:rFonts w:ascii="Arial Rounded MT Bold" w:hAnsi="Arial Rounded MT Bold" w:cs="TimesNewRomanPS-BoldMT"/>
          <w:bCs/>
          <w:color w:val="000000" w:themeColor="text1"/>
          <w:sz w:val="32"/>
          <w:szCs w:val="32"/>
        </w:rPr>
      </w:pPr>
    </w:p>
    <w:p w:rsidR="007E32FF" w:rsidRDefault="007E32FF" w:rsidP="007E32FF">
      <w:pPr>
        <w:spacing w:line="360" w:lineRule="auto"/>
        <w:jc w:val="center"/>
        <w:rPr>
          <w:rFonts w:ascii="Arial Rounded MT Bold" w:hAnsi="Arial Rounded MT Bold" w:cs="TimesNewRomanPS-BoldMT"/>
          <w:bCs/>
          <w:color w:val="000000" w:themeColor="text1"/>
          <w:sz w:val="32"/>
          <w:szCs w:val="32"/>
        </w:rPr>
      </w:pPr>
    </w:p>
    <w:p w:rsidR="007E32FF" w:rsidRDefault="00F30871" w:rsidP="007E32FF">
      <w:pPr>
        <w:spacing w:line="360" w:lineRule="auto"/>
        <w:jc w:val="center"/>
        <w:rPr>
          <w:rFonts w:ascii="Arial Rounded MT Bold" w:hAnsi="Arial Rounded MT Bold" w:cs="TimesNewRomanPS-BoldMT"/>
          <w:bCs/>
          <w:color w:val="000000" w:themeColor="text1"/>
          <w:sz w:val="32"/>
          <w:szCs w:val="32"/>
        </w:rPr>
      </w:pPr>
      <w:r>
        <w:rPr>
          <w:rFonts w:ascii="Arial Rounded MT Bold" w:hAnsi="Arial Rounded MT Bold" w:cs="TimesNewRomanPS-BoldMT"/>
          <w:bCs/>
          <w:color w:val="000000" w:themeColor="text1"/>
          <w:sz w:val="32"/>
          <w:szCs w:val="32"/>
        </w:rPr>
        <w:t>09</w:t>
      </w:r>
      <w:r w:rsidRPr="00F30871">
        <w:rPr>
          <w:rFonts w:ascii="Arial Rounded MT Bold" w:hAnsi="Arial Rounded MT Bold" w:cs="TimesNewRomanPS-BoldMT"/>
          <w:bCs/>
          <w:color w:val="000000" w:themeColor="text1"/>
          <w:sz w:val="32"/>
          <w:szCs w:val="32"/>
          <w:vertAlign w:val="superscript"/>
        </w:rPr>
        <w:t>th</w:t>
      </w:r>
      <w:r>
        <w:rPr>
          <w:rFonts w:ascii="Arial Rounded MT Bold" w:hAnsi="Arial Rounded MT Bold" w:cs="TimesNewRomanPS-BoldMT"/>
          <w:bCs/>
          <w:color w:val="000000" w:themeColor="text1"/>
          <w:sz w:val="32"/>
          <w:szCs w:val="32"/>
        </w:rPr>
        <w:t xml:space="preserve"> April</w:t>
      </w:r>
      <w:r w:rsidR="007E32FF">
        <w:rPr>
          <w:rFonts w:ascii="Arial Rounded MT Bold" w:hAnsi="Arial Rounded MT Bold" w:cs="TimesNewRomanPS-BoldMT"/>
          <w:bCs/>
          <w:color w:val="000000" w:themeColor="text1"/>
          <w:sz w:val="32"/>
          <w:szCs w:val="32"/>
        </w:rPr>
        <w:t>, 2012</w:t>
      </w:r>
    </w:p>
    <w:p w:rsidR="0034184F" w:rsidRDefault="0034184F"/>
    <w:p w:rsidR="00DB0336" w:rsidRDefault="00DB0336"/>
    <w:p w:rsidR="00DB0336" w:rsidRDefault="00DB0336"/>
    <w:p w:rsidR="000E4310" w:rsidRDefault="000E4310" w:rsidP="000E4310">
      <w:pPr>
        <w:shd w:val="clear" w:color="auto" w:fill="FFFFFF"/>
        <w:spacing w:after="0" w:line="360" w:lineRule="auto"/>
        <w:jc w:val="both"/>
        <w:rPr>
          <w:rFonts w:ascii="Times New Roman" w:eastAsia="Times New Roman" w:hAnsi="Times New Roman" w:cs="Times New Roman"/>
          <w:color w:val="000000"/>
          <w:sz w:val="24"/>
          <w:szCs w:val="16"/>
        </w:rPr>
      </w:pPr>
      <w:r w:rsidRPr="00010C56">
        <w:rPr>
          <w:rFonts w:ascii="Times New Roman" w:eastAsia="Times New Roman" w:hAnsi="Times New Roman" w:cs="Times New Roman"/>
          <w:color w:val="000000"/>
          <w:sz w:val="24"/>
          <w:szCs w:val="16"/>
        </w:rPr>
        <w:lastRenderedPageBreak/>
        <w:t>Aviation Industry in India is one of the fastest growing aviation industries</w:t>
      </w:r>
      <w:r>
        <w:rPr>
          <w:rFonts w:ascii="Times New Roman" w:eastAsia="Times New Roman" w:hAnsi="Times New Roman" w:cs="Times New Roman"/>
          <w:color w:val="000000"/>
          <w:sz w:val="24"/>
          <w:szCs w:val="16"/>
        </w:rPr>
        <w:t xml:space="preserve"> </w:t>
      </w:r>
      <w:r w:rsidRPr="00010C56">
        <w:rPr>
          <w:rFonts w:ascii="Times New Roman" w:eastAsia="Times New Roman" w:hAnsi="Times New Roman" w:cs="Times New Roman"/>
          <w:color w:val="000000"/>
          <w:sz w:val="24"/>
          <w:szCs w:val="16"/>
        </w:rPr>
        <w:t>in the world. With the liberalization of the Indian aviation sector, aviation industry</w:t>
      </w:r>
      <w:r>
        <w:rPr>
          <w:rFonts w:ascii="Times New Roman" w:eastAsia="Times New Roman" w:hAnsi="Times New Roman" w:cs="Times New Roman"/>
          <w:color w:val="000000"/>
          <w:sz w:val="24"/>
          <w:szCs w:val="16"/>
        </w:rPr>
        <w:t xml:space="preserve"> </w:t>
      </w:r>
      <w:r w:rsidRPr="00010C56">
        <w:rPr>
          <w:rFonts w:ascii="Times New Roman" w:eastAsia="Times New Roman" w:hAnsi="Times New Roman" w:cs="Times New Roman"/>
          <w:color w:val="000000"/>
          <w:sz w:val="24"/>
          <w:szCs w:val="16"/>
        </w:rPr>
        <w:t>in India has undergone a rapid transformation. From being primarily a government-owned industry, the Indian aviation industry is now dominated by privately owned</w:t>
      </w:r>
      <w:r>
        <w:rPr>
          <w:rFonts w:ascii="Times New Roman" w:eastAsia="Times New Roman" w:hAnsi="Times New Roman" w:cs="Times New Roman"/>
          <w:color w:val="000000"/>
          <w:sz w:val="24"/>
          <w:szCs w:val="16"/>
        </w:rPr>
        <w:t xml:space="preserve"> </w:t>
      </w:r>
      <w:r w:rsidRPr="00010C56">
        <w:rPr>
          <w:rFonts w:ascii="Times New Roman" w:eastAsia="Times New Roman" w:hAnsi="Times New Roman" w:cs="Times New Roman"/>
          <w:color w:val="000000"/>
          <w:sz w:val="24"/>
          <w:szCs w:val="16"/>
        </w:rPr>
        <w:t>full service airlines and low cost carriers. Private airlines account for around 75%share of the domestic aviation market. Earlier air travel was a privilege only a few</w:t>
      </w:r>
      <w:r>
        <w:rPr>
          <w:rFonts w:ascii="Times New Roman" w:eastAsia="Times New Roman" w:hAnsi="Times New Roman" w:cs="Times New Roman"/>
          <w:color w:val="000000"/>
          <w:sz w:val="24"/>
          <w:szCs w:val="16"/>
        </w:rPr>
        <w:t xml:space="preserve"> </w:t>
      </w:r>
      <w:r w:rsidRPr="00010C56">
        <w:rPr>
          <w:rFonts w:ascii="Times New Roman" w:eastAsia="Times New Roman" w:hAnsi="Times New Roman" w:cs="Times New Roman"/>
          <w:color w:val="000000"/>
          <w:sz w:val="24"/>
          <w:szCs w:val="16"/>
        </w:rPr>
        <w:t>could afford, but today air travel has become much cheaper and can be afforded by</w:t>
      </w:r>
      <w:r>
        <w:rPr>
          <w:rFonts w:ascii="Times New Roman" w:eastAsia="Times New Roman" w:hAnsi="Times New Roman" w:cs="Times New Roman"/>
          <w:color w:val="000000"/>
          <w:sz w:val="24"/>
          <w:szCs w:val="16"/>
        </w:rPr>
        <w:t xml:space="preserve"> </w:t>
      </w:r>
      <w:r w:rsidRPr="00010C56">
        <w:rPr>
          <w:rFonts w:ascii="Times New Roman" w:eastAsia="Times New Roman" w:hAnsi="Times New Roman" w:cs="Times New Roman"/>
          <w:color w:val="000000"/>
          <w:sz w:val="24"/>
          <w:szCs w:val="16"/>
        </w:rPr>
        <w:t>a large number of people.</w:t>
      </w:r>
    </w:p>
    <w:p w:rsidR="000E4310" w:rsidRPr="00010C56" w:rsidRDefault="000E4310" w:rsidP="000E4310">
      <w:pPr>
        <w:shd w:val="clear" w:color="auto" w:fill="FFFFFF"/>
        <w:spacing w:after="0" w:line="360" w:lineRule="auto"/>
        <w:jc w:val="both"/>
        <w:rPr>
          <w:rFonts w:ascii="Times New Roman" w:eastAsia="Times New Roman" w:hAnsi="Times New Roman" w:cs="Times New Roman"/>
          <w:color w:val="000000"/>
          <w:sz w:val="24"/>
          <w:szCs w:val="16"/>
        </w:rPr>
      </w:pPr>
    </w:p>
    <w:p w:rsidR="00B060C4" w:rsidRPr="0022497D" w:rsidRDefault="00B060C4" w:rsidP="00B060C4">
      <w:pPr>
        <w:spacing w:line="360" w:lineRule="auto"/>
        <w:jc w:val="both"/>
        <w:rPr>
          <w:rFonts w:ascii="Times New Roman" w:eastAsia="Times New Roman" w:hAnsi="Times New Roman" w:cs="Times New Roman"/>
          <w:sz w:val="24"/>
          <w:szCs w:val="24"/>
        </w:rPr>
      </w:pPr>
      <w:r w:rsidRPr="0022497D">
        <w:rPr>
          <w:rFonts w:ascii="Times New Roman" w:eastAsia="Times New Roman" w:hAnsi="Times New Roman" w:cs="Times New Roman"/>
          <w:sz w:val="24"/>
          <w:szCs w:val="24"/>
        </w:rPr>
        <w:t>The rights and liabilities of air carriers are governed by the Carriage by Air Act, 1972 [as</w:t>
      </w:r>
      <w:r w:rsidR="00043FB5">
        <w:rPr>
          <w:rFonts w:ascii="Times New Roman" w:eastAsia="Times New Roman" w:hAnsi="Times New Roman" w:cs="Times New Roman"/>
          <w:sz w:val="24"/>
          <w:szCs w:val="24"/>
        </w:rPr>
        <w:t xml:space="preserve"> amended </w:t>
      </w:r>
      <w:r w:rsidRPr="0022497D">
        <w:rPr>
          <w:rFonts w:ascii="Times New Roman" w:eastAsia="Times New Roman" w:hAnsi="Times New Roman" w:cs="Times New Roman"/>
          <w:sz w:val="24"/>
          <w:szCs w:val="24"/>
        </w:rPr>
        <w:t>in 2009] (‘the Act’).</w:t>
      </w:r>
      <w:r w:rsidR="00043FB5">
        <w:rPr>
          <w:rFonts w:ascii="Times New Roman" w:eastAsia="Times New Roman" w:hAnsi="Times New Roman" w:cs="Times New Roman"/>
          <w:sz w:val="24"/>
          <w:szCs w:val="24"/>
        </w:rPr>
        <w:t xml:space="preserve"> </w:t>
      </w:r>
      <w:r w:rsidRPr="0022497D">
        <w:rPr>
          <w:rFonts w:ascii="Times New Roman" w:eastAsia="Times New Roman" w:hAnsi="Times New Roman" w:cs="Times New Roman"/>
          <w:sz w:val="24"/>
          <w:szCs w:val="24"/>
        </w:rPr>
        <w:t>The Act extends to the whole of India. Consequently, the Act is</w:t>
      </w:r>
      <w:r w:rsidR="00043FB5">
        <w:rPr>
          <w:rFonts w:ascii="Times New Roman" w:eastAsia="Times New Roman" w:hAnsi="Times New Roman" w:cs="Times New Roman"/>
          <w:sz w:val="24"/>
          <w:szCs w:val="24"/>
        </w:rPr>
        <w:t xml:space="preserve"> applicable </w:t>
      </w:r>
      <w:r w:rsidRPr="0022497D">
        <w:rPr>
          <w:rFonts w:ascii="Times New Roman" w:eastAsia="Times New Roman" w:hAnsi="Times New Roman" w:cs="Times New Roman"/>
          <w:sz w:val="24"/>
          <w:szCs w:val="24"/>
        </w:rPr>
        <w:t>to Indian citizens involved in domestic carriage by air and in international carriage by</w:t>
      </w:r>
      <w:r w:rsidR="00043FB5">
        <w:rPr>
          <w:rFonts w:ascii="Times New Roman" w:eastAsia="Times New Roman" w:hAnsi="Times New Roman" w:cs="Times New Roman"/>
          <w:sz w:val="24"/>
          <w:szCs w:val="24"/>
        </w:rPr>
        <w:t xml:space="preserve"> air</w:t>
      </w:r>
      <w:r w:rsidRPr="0022497D">
        <w:rPr>
          <w:rFonts w:ascii="Times New Roman" w:eastAsia="Times New Roman" w:hAnsi="Times New Roman" w:cs="Times New Roman"/>
          <w:sz w:val="24"/>
          <w:szCs w:val="24"/>
        </w:rPr>
        <w:t xml:space="preserve">, irrespective of the nationality of the aircraft performing the carriage.  </w:t>
      </w:r>
    </w:p>
    <w:p w:rsidR="00B060C4" w:rsidRPr="0022497D" w:rsidRDefault="00B060C4" w:rsidP="00B060C4">
      <w:pPr>
        <w:spacing w:line="360" w:lineRule="auto"/>
        <w:jc w:val="both"/>
        <w:rPr>
          <w:rFonts w:ascii="Times New Roman" w:eastAsia="Times New Roman" w:hAnsi="Times New Roman" w:cs="Times New Roman"/>
          <w:sz w:val="24"/>
          <w:szCs w:val="24"/>
        </w:rPr>
      </w:pPr>
      <w:r w:rsidRPr="0022497D">
        <w:rPr>
          <w:rFonts w:ascii="Times New Roman" w:eastAsia="Times New Roman" w:hAnsi="Times New Roman" w:cs="Times New Roman"/>
          <w:sz w:val="24"/>
          <w:szCs w:val="24"/>
        </w:rPr>
        <w:t>In brief, therefore, the Act</w:t>
      </w:r>
      <w:r w:rsidR="00885FC4">
        <w:rPr>
          <w:rStyle w:val="FootnoteReference"/>
          <w:rFonts w:ascii="Times New Roman" w:eastAsia="Times New Roman" w:hAnsi="Times New Roman" w:cs="Times New Roman"/>
          <w:sz w:val="24"/>
          <w:szCs w:val="24"/>
        </w:rPr>
        <w:footnoteReference w:id="1"/>
      </w:r>
      <w:r w:rsidRPr="0022497D">
        <w:rPr>
          <w:rFonts w:ascii="Times New Roman" w:eastAsia="Times New Roman" w:hAnsi="Times New Roman" w:cs="Times New Roman"/>
          <w:sz w:val="24"/>
          <w:szCs w:val="24"/>
        </w:rPr>
        <w:t xml:space="preserve"> sets out a limit up to which a carrier is absolutely liable</w:t>
      </w:r>
      <w:r w:rsidRPr="0022497D">
        <w:rPr>
          <w:rStyle w:val="FootnoteReference"/>
          <w:rFonts w:ascii="Times New Roman" w:eastAsia="Times New Roman" w:hAnsi="Times New Roman" w:cs="Times New Roman"/>
          <w:sz w:val="24"/>
          <w:szCs w:val="24"/>
        </w:rPr>
        <w:footnoteReference w:id="2"/>
      </w:r>
      <w:r w:rsidRPr="0022497D">
        <w:rPr>
          <w:rFonts w:ascii="Times New Roman" w:eastAsia="Times New Roman" w:hAnsi="Times New Roman" w:cs="Times New Roman"/>
          <w:sz w:val="24"/>
          <w:szCs w:val="24"/>
        </w:rPr>
        <w:t xml:space="preserve"> for damage/death/ bodily injury sustained in course of air travel on board a carrier and in the course of any operations of embarking/disembarking in context to a passenger.</w:t>
      </w:r>
    </w:p>
    <w:p w:rsidR="00B060C4" w:rsidRPr="0022497D" w:rsidRDefault="00B060C4" w:rsidP="00B060C4">
      <w:pPr>
        <w:spacing w:line="360" w:lineRule="auto"/>
        <w:jc w:val="both"/>
        <w:rPr>
          <w:rFonts w:ascii="Times New Roman" w:eastAsia="Times New Roman" w:hAnsi="Times New Roman" w:cs="Times New Roman"/>
          <w:sz w:val="24"/>
          <w:szCs w:val="24"/>
        </w:rPr>
      </w:pPr>
      <w:r w:rsidRPr="0022497D">
        <w:rPr>
          <w:rFonts w:ascii="Times New Roman" w:eastAsia="Times New Roman" w:hAnsi="Times New Roman" w:cs="Times New Roman"/>
          <w:sz w:val="24"/>
          <w:szCs w:val="24"/>
        </w:rPr>
        <w:t xml:space="preserve">The Act also established a ‘per kilogram’ limit of liability for personal baggage (checked-in and hand) and air freight cargo to which a carrier is absolutely liable.  </w:t>
      </w:r>
    </w:p>
    <w:p w:rsidR="00B060C4" w:rsidRPr="0022497D" w:rsidRDefault="00B060C4" w:rsidP="00B060C4">
      <w:pPr>
        <w:spacing w:line="360" w:lineRule="auto"/>
        <w:jc w:val="both"/>
        <w:rPr>
          <w:rFonts w:ascii="Times New Roman" w:eastAsia="Times New Roman" w:hAnsi="Times New Roman" w:cs="Times New Roman"/>
          <w:sz w:val="24"/>
          <w:szCs w:val="24"/>
        </w:rPr>
      </w:pPr>
      <w:r w:rsidRPr="0022497D">
        <w:rPr>
          <w:rFonts w:ascii="Times New Roman" w:eastAsia="Times New Roman" w:hAnsi="Times New Roman" w:cs="Times New Roman"/>
          <w:sz w:val="24"/>
          <w:szCs w:val="24"/>
        </w:rPr>
        <w:t xml:space="preserve">Section 5 of the Act establishes the liability of a carrier in respect of the death of a passenger in </w:t>
      </w:r>
      <w:r w:rsidR="004C54EE">
        <w:rPr>
          <w:rFonts w:ascii="Times New Roman" w:eastAsia="Times New Roman" w:hAnsi="Times New Roman" w:cs="Times New Roman"/>
          <w:sz w:val="24"/>
          <w:szCs w:val="24"/>
        </w:rPr>
        <w:t xml:space="preserve">the </w:t>
      </w:r>
      <w:r w:rsidRPr="0022497D">
        <w:rPr>
          <w:rFonts w:ascii="Times New Roman" w:eastAsia="Times New Roman" w:hAnsi="Times New Roman" w:cs="Times New Roman"/>
          <w:sz w:val="24"/>
          <w:szCs w:val="24"/>
        </w:rPr>
        <w:t>course of the carriage by air subject to the Rules contained in First Schedule</w:t>
      </w:r>
      <w:r w:rsidRPr="0022497D">
        <w:rPr>
          <w:rStyle w:val="FootnoteReference"/>
          <w:rFonts w:ascii="Times New Roman" w:eastAsia="Times New Roman" w:hAnsi="Times New Roman" w:cs="Times New Roman"/>
          <w:sz w:val="24"/>
          <w:szCs w:val="24"/>
        </w:rPr>
        <w:footnoteReference w:id="3"/>
      </w:r>
      <w:r w:rsidRPr="0022497D">
        <w:rPr>
          <w:rFonts w:ascii="Times New Roman" w:eastAsia="Times New Roman" w:hAnsi="Times New Roman" w:cs="Times New Roman"/>
          <w:sz w:val="24"/>
          <w:szCs w:val="24"/>
        </w:rPr>
        <w:t xml:space="preserve"> ; Second</w:t>
      </w:r>
      <w:r w:rsidR="004C54EE">
        <w:rPr>
          <w:rFonts w:ascii="Times New Roman" w:eastAsia="Times New Roman" w:hAnsi="Times New Roman" w:cs="Times New Roman"/>
          <w:sz w:val="24"/>
          <w:szCs w:val="24"/>
        </w:rPr>
        <w:t xml:space="preserve"> Schedule</w:t>
      </w:r>
      <w:r w:rsidR="004C54EE">
        <w:rPr>
          <w:rStyle w:val="FootnoteReference"/>
          <w:rFonts w:ascii="Times New Roman" w:eastAsia="Times New Roman" w:hAnsi="Times New Roman" w:cs="Times New Roman"/>
          <w:sz w:val="24"/>
          <w:szCs w:val="24"/>
        </w:rPr>
        <w:footnoteReference w:id="4"/>
      </w:r>
      <w:r w:rsidRPr="0022497D">
        <w:rPr>
          <w:rFonts w:ascii="Times New Roman" w:eastAsia="Times New Roman" w:hAnsi="Times New Roman" w:cs="Times New Roman"/>
          <w:sz w:val="24"/>
          <w:szCs w:val="24"/>
        </w:rPr>
        <w:t>; and Third Schedule</w:t>
      </w:r>
      <w:r w:rsidR="009A4082">
        <w:rPr>
          <w:rStyle w:val="FootnoteReference"/>
          <w:rFonts w:ascii="Times New Roman" w:eastAsia="Times New Roman" w:hAnsi="Times New Roman" w:cs="Times New Roman"/>
          <w:sz w:val="24"/>
          <w:szCs w:val="24"/>
        </w:rPr>
        <w:footnoteReference w:id="5"/>
      </w:r>
      <w:r w:rsidRPr="0022497D">
        <w:rPr>
          <w:rFonts w:ascii="Times New Roman" w:eastAsia="Times New Roman" w:hAnsi="Times New Roman" w:cs="Times New Roman"/>
          <w:sz w:val="24"/>
          <w:szCs w:val="24"/>
        </w:rPr>
        <w:t xml:space="preserve">, as the case may be.  Section 5 does not oust the jurisdiction of </w:t>
      </w:r>
      <w:r w:rsidRPr="0022497D">
        <w:rPr>
          <w:rFonts w:ascii="Times New Roman" w:eastAsia="Times New Roman" w:hAnsi="Times New Roman" w:cs="Times New Roman"/>
          <w:sz w:val="24"/>
          <w:szCs w:val="24"/>
        </w:rPr>
        <w:lastRenderedPageBreak/>
        <w:t>any other law/rule in force in India, including the Fatal Accidents Act, 1855. As such the Act is not in derogation of any other law in force in India.</w:t>
      </w:r>
    </w:p>
    <w:p w:rsidR="00B060C4" w:rsidRPr="0022497D" w:rsidRDefault="00B060C4" w:rsidP="00B060C4">
      <w:pPr>
        <w:spacing w:line="360" w:lineRule="auto"/>
        <w:jc w:val="both"/>
        <w:rPr>
          <w:rFonts w:ascii="Times New Roman" w:eastAsia="Times New Roman" w:hAnsi="Times New Roman" w:cs="Times New Roman"/>
          <w:sz w:val="24"/>
          <w:szCs w:val="24"/>
        </w:rPr>
      </w:pPr>
      <w:r w:rsidRPr="0022497D">
        <w:rPr>
          <w:rFonts w:ascii="Times New Roman" w:eastAsia="Times New Roman" w:hAnsi="Times New Roman" w:cs="Times New Roman"/>
          <w:sz w:val="24"/>
          <w:szCs w:val="24"/>
        </w:rPr>
        <w:t xml:space="preserve">To put it differently, from the point of view of a claimant, the Act establishes the liability of a carrier, expressed in liquidated damages which are paid out as compensation, if a passenger engaged in international and domestic carriage by air is involved in an air crash/accident.  </w:t>
      </w:r>
    </w:p>
    <w:p w:rsidR="00DB0336" w:rsidRDefault="00DB0336"/>
    <w:p w:rsidR="00653716" w:rsidRPr="00601933" w:rsidRDefault="00653716" w:rsidP="00601933">
      <w:pPr>
        <w:spacing w:line="360" w:lineRule="auto"/>
        <w:jc w:val="both"/>
        <w:rPr>
          <w:rFonts w:ascii="Times New Roman" w:hAnsi="Times New Roman" w:cs="Times New Roman"/>
          <w:sz w:val="24"/>
          <w:szCs w:val="24"/>
        </w:rPr>
      </w:pPr>
      <w:r w:rsidRPr="00601933">
        <w:rPr>
          <w:rFonts w:ascii="Times New Roman" w:hAnsi="Times New Roman" w:cs="Times New Roman"/>
          <w:sz w:val="24"/>
          <w:szCs w:val="24"/>
        </w:rPr>
        <w:t>The recent Mangalore crash of an Air India flight from Dubai brought to the forefront the yet untested liability of the air carriers and the compensation due to passengers  under the Montreal Convention of 1999 (“Montreal Convention”) which was ratified by  India only last year.</w:t>
      </w:r>
      <w:r w:rsidR="007F192D">
        <w:rPr>
          <w:rStyle w:val="FootnoteReference"/>
          <w:rFonts w:ascii="Times New Roman" w:hAnsi="Times New Roman" w:cs="Times New Roman"/>
          <w:sz w:val="24"/>
          <w:szCs w:val="24"/>
        </w:rPr>
        <w:footnoteReference w:id="6"/>
      </w:r>
    </w:p>
    <w:p w:rsidR="00653716" w:rsidRDefault="00653716" w:rsidP="00601933">
      <w:pPr>
        <w:spacing w:line="360" w:lineRule="auto"/>
        <w:jc w:val="both"/>
        <w:rPr>
          <w:rFonts w:ascii="Times New Roman" w:hAnsi="Times New Roman" w:cs="Times New Roman"/>
          <w:sz w:val="24"/>
          <w:szCs w:val="24"/>
        </w:rPr>
      </w:pPr>
      <w:r w:rsidRPr="00601933">
        <w:rPr>
          <w:rFonts w:ascii="Times New Roman" w:hAnsi="Times New Roman" w:cs="Times New Roman"/>
          <w:sz w:val="24"/>
          <w:szCs w:val="24"/>
        </w:rPr>
        <w:t>Until recently, India was a signatory to the antiquated Warsaw Convention of 1929 (“Warsaw Convention”) as amended by the Hague Protocol of 1955 (“Hague Protocol”) which secured significantly low limits of liability on the carrier in case  of death or injury to the passengers or upon delay, lost or damaged baggage. By virtue of the Carriage by Air (Amendment) Act, 2009 revising the Carriage by Air Act, 1972 (the “Act”), India has ratified the Montreal Convention securing higher levels of compensation and obviating discrimination for Indian passengers. This bulletin provides a glimpse into the prior and current international carrier liability in case of passenger death and bodily injury.</w:t>
      </w:r>
    </w:p>
    <w:p w:rsidR="000B01C5" w:rsidRPr="00E46984" w:rsidRDefault="00246230" w:rsidP="00EF1E6F">
      <w:pPr>
        <w:spacing w:line="360" w:lineRule="auto"/>
        <w:jc w:val="both"/>
        <w:rPr>
          <w:rFonts w:ascii="Times New Roman" w:hAnsi="Times New Roman" w:cs="Times New Roman"/>
          <w:i/>
          <w:sz w:val="24"/>
          <w:szCs w:val="24"/>
          <w:u w:val="single"/>
        </w:rPr>
      </w:pPr>
      <w:r>
        <w:rPr>
          <w:rFonts w:ascii="Times New Roman" w:hAnsi="Times New Roman" w:cs="Times New Roman"/>
          <w:i/>
          <w:sz w:val="24"/>
          <w:szCs w:val="24"/>
          <w:u w:val="single"/>
        </w:rPr>
        <w:t xml:space="preserve">1.0 </w:t>
      </w:r>
      <w:r w:rsidR="00EF1E6F" w:rsidRPr="00E46984">
        <w:rPr>
          <w:rFonts w:ascii="Times New Roman" w:hAnsi="Times New Roman" w:cs="Times New Roman"/>
          <w:i/>
          <w:sz w:val="24"/>
          <w:szCs w:val="24"/>
          <w:u w:val="single"/>
        </w:rPr>
        <w:t xml:space="preserve">Status prior to accession of Montreal Convention </w:t>
      </w:r>
    </w:p>
    <w:p w:rsidR="00EF1E6F" w:rsidRPr="000B01C5" w:rsidRDefault="00246230" w:rsidP="00EF1E6F">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1.1 </w:t>
      </w:r>
      <w:r w:rsidR="00EF1E6F" w:rsidRPr="000B01C5">
        <w:rPr>
          <w:rFonts w:ascii="Times New Roman" w:hAnsi="Times New Roman" w:cs="Times New Roman"/>
          <w:b/>
          <w:sz w:val="24"/>
          <w:szCs w:val="24"/>
        </w:rPr>
        <w:t>Liability</w:t>
      </w:r>
    </w:p>
    <w:p w:rsidR="00EF1E6F" w:rsidRDefault="00EF1E6F" w:rsidP="00EF1E6F">
      <w:pPr>
        <w:spacing w:line="360" w:lineRule="auto"/>
        <w:jc w:val="both"/>
        <w:rPr>
          <w:rFonts w:ascii="Times New Roman" w:hAnsi="Times New Roman" w:cs="Times New Roman"/>
          <w:sz w:val="24"/>
          <w:szCs w:val="24"/>
        </w:rPr>
      </w:pPr>
      <w:r w:rsidRPr="00EF1E6F">
        <w:rPr>
          <w:rFonts w:ascii="Times New Roman" w:hAnsi="Times New Roman" w:cs="Times New Roman"/>
          <w:sz w:val="24"/>
          <w:szCs w:val="24"/>
        </w:rPr>
        <w:t>The Warsaw Convention and Hague Protocol regime provided a maximum liability of air</w:t>
      </w:r>
      <w:r w:rsidR="00F4655A">
        <w:rPr>
          <w:rFonts w:ascii="Times New Roman" w:hAnsi="Times New Roman" w:cs="Times New Roman"/>
          <w:sz w:val="24"/>
          <w:szCs w:val="24"/>
        </w:rPr>
        <w:t xml:space="preserve"> </w:t>
      </w:r>
      <w:r w:rsidRPr="00EF1E6F">
        <w:rPr>
          <w:rFonts w:ascii="Times New Roman" w:hAnsi="Times New Roman" w:cs="Times New Roman"/>
          <w:sz w:val="24"/>
          <w:szCs w:val="24"/>
        </w:rPr>
        <w:t>carriers for bodily injury or death of passengers of 250,000 francs</w:t>
      </w:r>
      <w:r w:rsidR="00F4655A">
        <w:rPr>
          <w:rStyle w:val="FootnoteReference"/>
          <w:rFonts w:ascii="Times New Roman" w:hAnsi="Times New Roman" w:cs="Times New Roman"/>
          <w:sz w:val="24"/>
          <w:szCs w:val="24"/>
        </w:rPr>
        <w:footnoteReference w:id="7"/>
      </w:r>
      <w:r w:rsidRPr="00EF1E6F">
        <w:rPr>
          <w:rFonts w:ascii="Times New Roman" w:hAnsi="Times New Roman" w:cs="Times New Roman"/>
          <w:sz w:val="24"/>
          <w:szCs w:val="24"/>
        </w:rPr>
        <w:t xml:space="preserve"> (approximately</w:t>
      </w:r>
      <w:r w:rsidR="00F4655A">
        <w:rPr>
          <w:rFonts w:ascii="Times New Roman" w:hAnsi="Times New Roman" w:cs="Times New Roman"/>
          <w:sz w:val="24"/>
          <w:szCs w:val="24"/>
        </w:rPr>
        <w:t xml:space="preserve"> </w:t>
      </w:r>
      <w:r w:rsidRPr="00EF1E6F">
        <w:rPr>
          <w:rFonts w:ascii="Times New Roman" w:hAnsi="Times New Roman" w:cs="Times New Roman"/>
          <w:sz w:val="24"/>
          <w:szCs w:val="24"/>
        </w:rPr>
        <w:t>$46,666</w:t>
      </w:r>
      <w:r w:rsidR="00354D62">
        <w:rPr>
          <w:rStyle w:val="FootnoteReference"/>
          <w:rFonts w:ascii="Times New Roman" w:hAnsi="Times New Roman" w:cs="Times New Roman"/>
          <w:sz w:val="24"/>
          <w:szCs w:val="24"/>
        </w:rPr>
        <w:footnoteReference w:id="8"/>
      </w:r>
      <w:r w:rsidRPr="00EF1E6F">
        <w:rPr>
          <w:rFonts w:ascii="Times New Roman" w:hAnsi="Times New Roman" w:cs="Times New Roman"/>
          <w:sz w:val="24"/>
          <w:szCs w:val="24"/>
        </w:rPr>
        <w:t xml:space="preserve">). </w:t>
      </w:r>
      <w:r w:rsidRPr="00EF1E6F">
        <w:rPr>
          <w:rFonts w:ascii="Times New Roman" w:hAnsi="Times New Roman" w:cs="Times New Roman"/>
          <w:sz w:val="24"/>
          <w:szCs w:val="24"/>
        </w:rPr>
        <w:lastRenderedPageBreak/>
        <w:t>This was not only a significantly low compensation but the regime also did not make provision for any advance payment by the carrier leaving claimants to go against the carriers to seek compensation. This is evident from the October 2009 ruling</w:t>
      </w:r>
      <w:r w:rsidR="00354D62">
        <w:rPr>
          <w:rStyle w:val="FootnoteReference"/>
          <w:rFonts w:ascii="Times New Roman" w:hAnsi="Times New Roman" w:cs="Times New Roman"/>
          <w:sz w:val="24"/>
          <w:szCs w:val="24"/>
        </w:rPr>
        <w:footnoteReference w:id="9"/>
      </w:r>
      <w:r w:rsidRPr="00EF1E6F">
        <w:rPr>
          <w:rFonts w:ascii="Times New Roman" w:hAnsi="Times New Roman" w:cs="Times New Roman"/>
          <w:sz w:val="24"/>
          <w:szCs w:val="24"/>
        </w:rPr>
        <w:t xml:space="preserve"> in respect of a crash of a domestic flight of Indian Airlines in 1988 wherein the Gujarat High Court determined an amount of Rs. 7.53 </w:t>
      </w:r>
      <w:proofErr w:type="spellStart"/>
      <w:r w:rsidRPr="00EF1E6F">
        <w:rPr>
          <w:rFonts w:ascii="Times New Roman" w:hAnsi="Times New Roman" w:cs="Times New Roman"/>
          <w:sz w:val="24"/>
          <w:szCs w:val="24"/>
        </w:rPr>
        <w:t>lakhs</w:t>
      </w:r>
      <w:proofErr w:type="spellEnd"/>
      <w:r w:rsidRPr="00EF1E6F">
        <w:rPr>
          <w:rFonts w:ascii="Times New Roman" w:hAnsi="Times New Roman" w:cs="Times New Roman"/>
          <w:sz w:val="24"/>
          <w:szCs w:val="24"/>
        </w:rPr>
        <w:t xml:space="preserve"> (approximately $16,700) as compensation based on the income of the victim in 1988 viz., Rs. 1 </w:t>
      </w:r>
      <w:proofErr w:type="spellStart"/>
      <w:r w:rsidRPr="00EF1E6F">
        <w:rPr>
          <w:rFonts w:ascii="Times New Roman" w:hAnsi="Times New Roman" w:cs="Times New Roman"/>
          <w:sz w:val="24"/>
          <w:szCs w:val="24"/>
        </w:rPr>
        <w:t>lakhs</w:t>
      </w:r>
      <w:proofErr w:type="spellEnd"/>
      <w:r w:rsidRPr="00EF1E6F">
        <w:rPr>
          <w:rFonts w:ascii="Times New Roman" w:hAnsi="Times New Roman" w:cs="Times New Roman"/>
          <w:sz w:val="24"/>
          <w:szCs w:val="24"/>
        </w:rPr>
        <w:t xml:space="preserve"> (approximately $2,200), likely residual life, potential expenses during residual life etc. and awarded a 9% interest from the date of filing the appeal. The other interesting aspect of the judgment is the heavy reliance on verdicts of motor vehicle claims.</w:t>
      </w:r>
    </w:p>
    <w:p w:rsidR="004959BB" w:rsidRDefault="00A600B8" w:rsidP="004959BB">
      <w:pPr>
        <w:autoSpaceDE w:val="0"/>
        <w:autoSpaceDN w:val="0"/>
        <w:adjustRightInd w:val="0"/>
        <w:spacing w:after="0" w:line="240" w:lineRule="auto"/>
        <w:rPr>
          <w:rFonts w:ascii="Garamond" w:hAnsi="Garamond" w:cs="Garamond"/>
          <w:b/>
          <w:color w:val="000000" w:themeColor="text1"/>
          <w:sz w:val="24"/>
          <w:szCs w:val="24"/>
        </w:rPr>
      </w:pPr>
      <w:r>
        <w:rPr>
          <w:rFonts w:ascii="Garamond" w:hAnsi="Garamond" w:cs="Garamond"/>
          <w:b/>
          <w:color w:val="000000" w:themeColor="text1"/>
          <w:sz w:val="24"/>
          <w:szCs w:val="24"/>
        </w:rPr>
        <w:t xml:space="preserve">1.2 </w:t>
      </w:r>
      <w:r w:rsidR="004959BB" w:rsidRPr="00E46984">
        <w:rPr>
          <w:rFonts w:ascii="Garamond" w:hAnsi="Garamond" w:cs="Garamond"/>
          <w:b/>
          <w:color w:val="000000" w:themeColor="text1"/>
          <w:sz w:val="24"/>
          <w:szCs w:val="24"/>
        </w:rPr>
        <w:t>Jurisdiction</w:t>
      </w:r>
    </w:p>
    <w:p w:rsidR="00E46984" w:rsidRPr="00E46984" w:rsidRDefault="00E46984" w:rsidP="004959BB">
      <w:pPr>
        <w:autoSpaceDE w:val="0"/>
        <w:autoSpaceDN w:val="0"/>
        <w:adjustRightInd w:val="0"/>
        <w:spacing w:after="0" w:line="240" w:lineRule="auto"/>
        <w:rPr>
          <w:rFonts w:ascii="Garamond" w:hAnsi="Garamond" w:cs="Garamond"/>
          <w:b/>
          <w:color w:val="000000" w:themeColor="text1"/>
          <w:sz w:val="24"/>
          <w:szCs w:val="24"/>
        </w:rPr>
      </w:pPr>
    </w:p>
    <w:p w:rsidR="004959BB" w:rsidRPr="00E46984" w:rsidRDefault="004959BB" w:rsidP="00E46984">
      <w:pPr>
        <w:autoSpaceDE w:val="0"/>
        <w:autoSpaceDN w:val="0"/>
        <w:adjustRightInd w:val="0"/>
        <w:spacing w:after="0" w:line="360" w:lineRule="auto"/>
        <w:jc w:val="both"/>
        <w:rPr>
          <w:rFonts w:ascii="Times New Roman" w:hAnsi="Times New Roman" w:cs="Times New Roman"/>
          <w:color w:val="000000" w:themeColor="text1"/>
          <w:sz w:val="24"/>
          <w:szCs w:val="24"/>
        </w:rPr>
      </w:pPr>
      <w:r w:rsidRPr="00E46984">
        <w:rPr>
          <w:rFonts w:ascii="Times New Roman" w:hAnsi="Times New Roman" w:cs="Times New Roman"/>
          <w:color w:val="000000" w:themeColor="text1"/>
          <w:sz w:val="24"/>
          <w:szCs w:val="24"/>
        </w:rPr>
        <w:t>The victim or their families were entitled to take action against foreign carriers in the</w:t>
      </w:r>
      <w:r w:rsidR="00E46984" w:rsidRPr="00E46984">
        <w:rPr>
          <w:rFonts w:ascii="Times New Roman" w:hAnsi="Times New Roman" w:cs="Times New Roman"/>
          <w:color w:val="000000" w:themeColor="text1"/>
          <w:sz w:val="24"/>
          <w:szCs w:val="24"/>
        </w:rPr>
        <w:t xml:space="preserve"> </w:t>
      </w:r>
      <w:r w:rsidRPr="00E46984">
        <w:rPr>
          <w:rFonts w:ascii="Times New Roman" w:hAnsi="Times New Roman" w:cs="Times New Roman"/>
          <w:color w:val="000000" w:themeColor="text1"/>
          <w:sz w:val="24"/>
          <w:szCs w:val="24"/>
        </w:rPr>
        <w:t xml:space="preserve">territory of one of the signatories of the Warsaw Convention which could be either where </w:t>
      </w:r>
      <w:proofErr w:type="gramStart"/>
      <w:r w:rsidRPr="00E46984">
        <w:rPr>
          <w:rFonts w:ascii="Times New Roman" w:hAnsi="Times New Roman" w:cs="Times New Roman"/>
          <w:color w:val="000000" w:themeColor="text1"/>
          <w:sz w:val="24"/>
          <w:szCs w:val="24"/>
        </w:rPr>
        <w:t>–(</w:t>
      </w:r>
      <w:proofErr w:type="spellStart"/>
      <w:proofErr w:type="gramEnd"/>
      <w:r w:rsidRPr="00E46984">
        <w:rPr>
          <w:rFonts w:ascii="Times New Roman" w:hAnsi="Times New Roman" w:cs="Times New Roman"/>
          <w:color w:val="000000" w:themeColor="text1"/>
          <w:sz w:val="24"/>
          <w:szCs w:val="24"/>
        </w:rPr>
        <w:t>i</w:t>
      </w:r>
      <w:proofErr w:type="spellEnd"/>
      <w:r w:rsidRPr="00E46984">
        <w:rPr>
          <w:rFonts w:ascii="Times New Roman" w:hAnsi="Times New Roman" w:cs="Times New Roman"/>
          <w:color w:val="000000" w:themeColor="text1"/>
          <w:sz w:val="24"/>
          <w:szCs w:val="24"/>
        </w:rPr>
        <w:t>) the carrier maintains</w:t>
      </w:r>
      <w:r w:rsidR="00E46984" w:rsidRPr="00E46984">
        <w:rPr>
          <w:rFonts w:ascii="Times New Roman" w:hAnsi="Times New Roman" w:cs="Times New Roman"/>
          <w:color w:val="000000" w:themeColor="text1"/>
          <w:sz w:val="24"/>
          <w:szCs w:val="24"/>
        </w:rPr>
        <w:t xml:space="preserve"> </w:t>
      </w:r>
      <w:r w:rsidRPr="00E46984">
        <w:rPr>
          <w:rFonts w:ascii="Times New Roman" w:hAnsi="Times New Roman" w:cs="Times New Roman"/>
          <w:color w:val="000000" w:themeColor="text1"/>
          <w:sz w:val="24"/>
          <w:szCs w:val="24"/>
        </w:rPr>
        <w:t>its principal residence, (ii) the carrier has its primary location of</w:t>
      </w:r>
      <w:r w:rsidR="00E46984" w:rsidRPr="00E46984">
        <w:rPr>
          <w:rFonts w:ascii="Times New Roman" w:hAnsi="Times New Roman" w:cs="Times New Roman"/>
          <w:color w:val="000000" w:themeColor="text1"/>
          <w:sz w:val="24"/>
          <w:szCs w:val="24"/>
        </w:rPr>
        <w:t xml:space="preserve"> </w:t>
      </w:r>
      <w:r w:rsidRPr="00E46984">
        <w:rPr>
          <w:rFonts w:ascii="Times New Roman" w:hAnsi="Times New Roman" w:cs="Times New Roman"/>
          <w:color w:val="000000" w:themeColor="text1"/>
          <w:sz w:val="24"/>
          <w:szCs w:val="24"/>
        </w:rPr>
        <w:t>business, (iii) the contract is made, or (iv) the flight intended to have its final destination.</w:t>
      </w:r>
      <w:r w:rsidR="00E46984" w:rsidRPr="00E46984">
        <w:rPr>
          <w:rFonts w:ascii="Times New Roman" w:hAnsi="Times New Roman" w:cs="Times New Roman"/>
          <w:color w:val="000000" w:themeColor="text1"/>
          <w:sz w:val="24"/>
          <w:szCs w:val="24"/>
        </w:rPr>
        <w:t xml:space="preserve"> </w:t>
      </w:r>
      <w:r w:rsidRPr="00E46984">
        <w:rPr>
          <w:rFonts w:ascii="Times New Roman" w:hAnsi="Times New Roman" w:cs="Times New Roman"/>
          <w:color w:val="000000" w:themeColor="text1"/>
          <w:sz w:val="24"/>
          <w:szCs w:val="24"/>
        </w:rPr>
        <w:t>The Warsaw Convention effectively left it to the claimants, who were not residents of the</w:t>
      </w:r>
      <w:r w:rsidR="00E46984" w:rsidRPr="00E46984">
        <w:rPr>
          <w:rFonts w:ascii="Times New Roman" w:hAnsi="Times New Roman" w:cs="Times New Roman"/>
          <w:color w:val="000000" w:themeColor="text1"/>
          <w:sz w:val="24"/>
          <w:szCs w:val="24"/>
        </w:rPr>
        <w:t xml:space="preserve"> </w:t>
      </w:r>
      <w:r w:rsidRPr="00E46984">
        <w:rPr>
          <w:rFonts w:ascii="Times New Roman" w:hAnsi="Times New Roman" w:cs="Times New Roman"/>
          <w:color w:val="000000" w:themeColor="text1"/>
          <w:sz w:val="24"/>
          <w:szCs w:val="24"/>
        </w:rPr>
        <w:t>above states, to pursue a claim against such carriers in a jurisdiction other than their own</w:t>
      </w:r>
      <w:r w:rsidR="00E46984" w:rsidRPr="00E46984">
        <w:rPr>
          <w:rFonts w:ascii="Times New Roman" w:hAnsi="Times New Roman" w:cs="Times New Roman"/>
          <w:color w:val="000000" w:themeColor="text1"/>
          <w:sz w:val="24"/>
          <w:szCs w:val="24"/>
        </w:rPr>
        <w:t xml:space="preserve"> </w:t>
      </w:r>
      <w:r w:rsidRPr="00E46984">
        <w:rPr>
          <w:rFonts w:ascii="Times New Roman" w:hAnsi="Times New Roman" w:cs="Times New Roman"/>
          <w:color w:val="000000" w:themeColor="text1"/>
          <w:sz w:val="24"/>
          <w:szCs w:val="24"/>
        </w:rPr>
        <w:t>which was not always feasible for claimants.</w:t>
      </w:r>
    </w:p>
    <w:p w:rsidR="00821C7A" w:rsidRDefault="00821C7A" w:rsidP="004959BB">
      <w:pPr>
        <w:autoSpaceDE w:val="0"/>
        <w:autoSpaceDN w:val="0"/>
        <w:adjustRightInd w:val="0"/>
        <w:spacing w:after="0" w:line="240" w:lineRule="auto"/>
        <w:rPr>
          <w:rFonts w:ascii="Garamond" w:hAnsi="Garamond" w:cs="Garamond"/>
          <w:color w:val="FF6600"/>
          <w:sz w:val="24"/>
          <w:szCs w:val="24"/>
        </w:rPr>
      </w:pPr>
    </w:p>
    <w:p w:rsidR="004959BB" w:rsidRPr="00821C7A" w:rsidRDefault="00A10321" w:rsidP="004959BB">
      <w:pPr>
        <w:autoSpaceDE w:val="0"/>
        <w:autoSpaceDN w:val="0"/>
        <w:adjustRightInd w:val="0"/>
        <w:spacing w:after="0" w:line="240" w:lineRule="auto"/>
        <w:rPr>
          <w:rFonts w:ascii="Times New Roman" w:hAnsi="Times New Roman" w:cs="Times New Roman"/>
          <w:i/>
          <w:color w:val="000000" w:themeColor="text1"/>
          <w:sz w:val="24"/>
          <w:szCs w:val="24"/>
          <w:u w:val="single"/>
        </w:rPr>
      </w:pPr>
      <w:r>
        <w:rPr>
          <w:rFonts w:ascii="Times New Roman" w:hAnsi="Times New Roman" w:cs="Times New Roman"/>
          <w:i/>
          <w:color w:val="000000" w:themeColor="text1"/>
          <w:sz w:val="24"/>
          <w:szCs w:val="24"/>
          <w:u w:val="single"/>
        </w:rPr>
        <w:t xml:space="preserve">2.0 </w:t>
      </w:r>
      <w:r w:rsidR="004959BB" w:rsidRPr="00821C7A">
        <w:rPr>
          <w:rFonts w:ascii="Times New Roman" w:hAnsi="Times New Roman" w:cs="Times New Roman"/>
          <w:i/>
          <w:color w:val="000000" w:themeColor="text1"/>
          <w:sz w:val="24"/>
          <w:szCs w:val="24"/>
          <w:u w:val="single"/>
        </w:rPr>
        <w:t>Status subsequent to accession of Convention</w:t>
      </w:r>
    </w:p>
    <w:p w:rsidR="00821C7A" w:rsidRDefault="00821C7A" w:rsidP="004959BB">
      <w:pPr>
        <w:autoSpaceDE w:val="0"/>
        <w:autoSpaceDN w:val="0"/>
        <w:adjustRightInd w:val="0"/>
        <w:spacing w:after="0" w:line="240" w:lineRule="auto"/>
        <w:rPr>
          <w:rFonts w:ascii="Garamond" w:hAnsi="Garamond" w:cs="Garamond"/>
          <w:color w:val="FF6600"/>
          <w:sz w:val="24"/>
          <w:szCs w:val="24"/>
        </w:rPr>
      </w:pPr>
    </w:p>
    <w:p w:rsidR="004959BB" w:rsidRPr="009C6349" w:rsidRDefault="004959BB" w:rsidP="009C6349">
      <w:pPr>
        <w:autoSpaceDE w:val="0"/>
        <w:autoSpaceDN w:val="0"/>
        <w:adjustRightInd w:val="0"/>
        <w:spacing w:after="0" w:line="360" w:lineRule="auto"/>
        <w:jc w:val="both"/>
        <w:rPr>
          <w:rFonts w:ascii="Times New Roman" w:hAnsi="Times New Roman" w:cs="Times New Roman"/>
          <w:color w:val="000000" w:themeColor="text1"/>
          <w:sz w:val="24"/>
          <w:szCs w:val="24"/>
        </w:rPr>
      </w:pPr>
      <w:r w:rsidRPr="009C6349">
        <w:rPr>
          <w:rFonts w:ascii="Times New Roman" w:hAnsi="Times New Roman" w:cs="Times New Roman"/>
          <w:color w:val="000000" w:themeColor="text1"/>
          <w:sz w:val="24"/>
          <w:szCs w:val="24"/>
        </w:rPr>
        <w:t>The Montreal Convention, formally the Convention for the Unification of Certain</w:t>
      </w:r>
      <w:r w:rsidR="005E5D5E" w:rsidRPr="009C6349">
        <w:rPr>
          <w:rFonts w:ascii="Times New Roman" w:hAnsi="Times New Roman" w:cs="Times New Roman"/>
          <w:color w:val="000000" w:themeColor="text1"/>
          <w:sz w:val="24"/>
          <w:szCs w:val="24"/>
        </w:rPr>
        <w:t xml:space="preserve"> </w:t>
      </w:r>
      <w:r w:rsidRPr="009C6349">
        <w:rPr>
          <w:rFonts w:ascii="Times New Roman" w:hAnsi="Times New Roman" w:cs="Times New Roman"/>
          <w:color w:val="000000" w:themeColor="text1"/>
          <w:sz w:val="24"/>
          <w:szCs w:val="24"/>
        </w:rPr>
        <w:t>Rules for</w:t>
      </w:r>
      <w:r w:rsidR="005E5D5E" w:rsidRPr="009C6349">
        <w:rPr>
          <w:rFonts w:ascii="Times New Roman" w:hAnsi="Times New Roman" w:cs="Times New Roman"/>
          <w:color w:val="000000" w:themeColor="text1"/>
          <w:sz w:val="24"/>
          <w:szCs w:val="24"/>
        </w:rPr>
        <w:t xml:space="preserve"> </w:t>
      </w:r>
      <w:r w:rsidRPr="009C6349">
        <w:rPr>
          <w:rFonts w:ascii="Times New Roman" w:hAnsi="Times New Roman" w:cs="Times New Roman"/>
          <w:color w:val="000000" w:themeColor="text1"/>
          <w:sz w:val="24"/>
          <w:szCs w:val="24"/>
        </w:rPr>
        <w:t>International Carriage, is a treaty adopted in 1999 and amended provisions of the</w:t>
      </w:r>
      <w:r w:rsidR="005E5D5E" w:rsidRPr="009C6349">
        <w:rPr>
          <w:rFonts w:ascii="Times New Roman" w:hAnsi="Times New Roman" w:cs="Times New Roman"/>
          <w:color w:val="000000" w:themeColor="text1"/>
          <w:sz w:val="24"/>
          <w:szCs w:val="24"/>
        </w:rPr>
        <w:t xml:space="preserve"> </w:t>
      </w:r>
      <w:r w:rsidRPr="009C6349">
        <w:rPr>
          <w:rFonts w:ascii="Times New Roman" w:hAnsi="Times New Roman" w:cs="Times New Roman"/>
          <w:color w:val="000000" w:themeColor="text1"/>
          <w:sz w:val="24"/>
          <w:szCs w:val="24"/>
        </w:rPr>
        <w:t>Warsaw Convention and Hague Protocol concerning compensation for the victims of air</w:t>
      </w:r>
      <w:r w:rsidR="005E5D5E" w:rsidRPr="009C6349">
        <w:rPr>
          <w:rFonts w:ascii="Times New Roman" w:hAnsi="Times New Roman" w:cs="Times New Roman"/>
          <w:color w:val="000000" w:themeColor="text1"/>
          <w:sz w:val="24"/>
          <w:szCs w:val="24"/>
        </w:rPr>
        <w:t xml:space="preserve"> </w:t>
      </w:r>
      <w:r w:rsidRPr="009C6349">
        <w:rPr>
          <w:rFonts w:ascii="Times New Roman" w:hAnsi="Times New Roman" w:cs="Times New Roman"/>
          <w:color w:val="000000" w:themeColor="text1"/>
          <w:sz w:val="24"/>
          <w:szCs w:val="24"/>
        </w:rPr>
        <w:t>disasters. It unified the rules on international carriage by air and modernized limitation of</w:t>
      </w:r>
      <w:r w:rsidR="005E5D5E" w:rsidRPr="009C6349">
        <w:rPr>
          <w:rFonts w:ascii="Times New Roman" w:hAnsi="Times New Roman" w:cs="Times New Roman"/>
          <w:color w:val="000000" w:themeColor="text1"/>
          <w:sz w:val="24"/>
          <w:szCs w:val="24"/>
        </w:rPr>
        <w:t xml:space="preserve"> </w:t>
      </w:r>
      <w:r w:rsidRPr="009C6349">
        <w:rPr>
          <w:rFonts w:ascii="Times New Roman" w:hAnsi="Times New Roman" w:cs="Times New Roman"/>
          <w:color w:val="000000" w:themeColor="text1"/>
          <w:sz w:val="24"/>
          <w:szCs w:val="24"/>
        </w:rPr>
        <w:t>liability for international air transport.</w:t>
      </w:r>
    </w:p>
    <w:p w:rsidR="004959BB" w:rsidRDefault="004959BB" w:rsidP="004959BB">
      <w:pPr>
        <w:autoSpaceDE w:val="0"/>
        <w:autoSpaceDN w:val="0"/>
        <w:adjustRightInd w:val="0"/>
        <w:spacing w:after="0" w:line="240" w:lineRule="auto"/>
        <w:rPr>
          <w:rFonts w:ascii="Garamond" w:hAnsi="Garamond" w:cs="Garamond"/>
          <w:color w:val="000080"/>
          <w:sz w:val="24"/>
          <w:szCs w:val="24"/>
        </w:rPr>
      </w:pPr>
    </w:p>
    <w:p w:rsidR="004959BB" w:rsidRDefault="00FD6F94" w:rsidP="004959BB">
      <w:pPr>
        <w:autoSpaceDE w:val="0"/>
        <w:autoSpaceDN w:val="0"/>
        <w:adjustRightInd w:val="0"/>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2.1 </w:t>
      </w:r>
      <w:r w:rsidR="004959BB" w:rsidRPr="00FD6F94">
        <w:rPr>
          <w:rFonts w:ascii="Times New Roman" w:hAnsi="Times New Roman" w:cs="Times New Roman"/>
          <w:b/>
          <w:color w:val="000000" w:themeColor="text1"/>
          <w:sz w:val="24"/>
          <w:szCs w:val="24"/>
        </w:rPr>
        <w:t>Two-Tier Liability</w:t>
      </w:r>
    </w:p>
    <w:p w:rsidR="00FD6F94" w:rsidRPr="00FD6F94" w:rsidRDefault="00FD6F94" w:rsidP="004959BB">
      <w:pPr>
        <w:autoSpaceDE w:val="0"/>
        <w:autoSpaceDN w:val="0"/>
        <w:adjustRightInd w:val="0"/>
        <w:spacing w:after="0" w:line="240" w:lineRule="auto"/>
        <w:rPr>
          <w:rFonts w:ascii="Times New Roman" w:hAnsi="Times New Roman" w:cs="Times New Roman"/>
          <w:b/>
          <w:color w:val="000000" w:themeColor="text1"/>
          <w:sz w:val="24"/>
          <w:szCs w:val="24"/>
        </w:rPr>
      </w:pPr>
    </w:p>
    <w:p w:rsidR="004959BB" w:rsidRDefault="004959BB" w:rsidP="005A0F35">
      <w:pPr>
        <w:autoSpaceDE w:val="0"/>
        <w:autoSpaceDN w:val="0"/>
        <w:adjustRightInd w:val="0"/>
        <w:spacing w:after="0" w:line="360" w:lineRule="auto"/>
        <w:jc w:val="both"/>
        <w:rPr>
          <w:rFonts w:ascii="Times New Roman" w:hAnsi="Times New Roman" w:cs="Times New Roman"/>
          <w:color w:val="000000" w:themeColor="text1"/>
          <w:sz w:val="24"/>
          <w:szCs w:val="24"/>
        </w:rPr>
      </w:pPr>
      <w:r w:rsidRPr="005A0F35">
        <w:rPr>
          <w:rFonts w:ascii="Times New Roman" w:hAnsi="Times New Roman" w:cs="Times New Roman"/>
          <w:color w:val="000000" w:themeColor="text1"/>
          <w:sz w:val="24"/>
          <w:szCs w:val="24"/>
        </w:rPr>
        <w:t>It introduced a two-tier liability system: (</w:t>
      </w:r>
      <w:proofErr w:type="spellStart"/>
      <w:r w:rsidRPr="005A0F35">
        <w:rPr>
          <w:rFonts w:ascii="Times New Roman" w:hAnsi="Times New Roman" w:cs="Times New Roman"/>
          <w:color w:val="000000" w:themeColor="text1"/>
          <w:sz w:val="24"/>
          <w:szCs w:val="24"/>
        </w:rPr>
        <w:t>i</w:t>
      </w:r>
      <w:proofErr w:type="spellEnd"/>
      <w:r w:rsidRPr="005A0F35">
        <w:rPr>
          <w:rFonts w:ascii="Times New Roman" w:hAnsi="Times New Roman" w:cs="Times New Roman"/>
          <w:color w:val="000000" w:themeColor="text1"/>
          <w:sz w:val="24"/>
          <w:szCs w:val="24"/>
        </w:rPr>
        <w:t>) a first tier of strict liability for damages of</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up to 100,000 SDR</w:t>
      </w:r>
      <w:r w:rsidR="00451946">
        <w:rPr>
          <w:rStyle w:val="FootnoteReference"/>
          <w:rFonts w:ascii="Times New Roman" w:hAnsi="Times New Roman" w:cs="Times New Roman"/>
          <w:color w:val="000000" w:themeColor="text1"/>
          <w:sz w:val="24"/>
          <w:szCs w:val="24"/>
        </w:rPr>
        <w:footnoteReference w:id="10"/>
      </w:r>
      <w:r w:rsidRPr="005A0F35">
        <w:rPr>
          <w:rFonts w:ascii="Times New Roman" w:hAnsi="Times New Roman" w:cs="Times New Roman"/>
          <w:color w:val="000000" w:themeColor="text1"/>
          <w:sz w:val="24"/>
          <w:szCs w:val="24"/>
        </w:rPr>
        <w:t xml:space="preserve"> (approximately $155,000) and; (ii) a second tier of liability based on the</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presumed fault of the carrier in which case there is unlimited liability.</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 xml:space="preserve">It is pertinent to note that </w:t>
      </w:r>
      <w:r w:rsidRPr="005A0F35">
        <w:rPr>
          <w:rFonts w:ascii="Times New Roman" w:hAnsi="Times New Roman" w:cs="Times New Roman"/>
          <w:color w:val="000000" w:themeColor="text1"/>
          <w:sz w:val="24"/>
          <w:szCs w:val="24"/>
        </w:rPr>
        <w:lastRenderedPageBreak/>
        <w:t>while the Montreal Convention provides for a first-tier</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100,000 SDR as a strict liability, this amount does not reflect the minimum liability of the</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carrier. In other words, the Convention has left the determination of the level of damage to</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the local law. As such, if the courts in India rule that the damage sustained by each victim in</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the Air India crash is up to 100,000 SDR, the carrier cannot escape liability on the ground</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that it is not responsible for the accident.</w:t>
      </w:r>
    </w:p>
    <w:p w:rsidR="003A053A" w:rsidRPr="005A0F35" w:rsidRDefault="003A053A" w:rsidP="005A0F35">
      <w:pPr>
        <w:autoSpaceDE w:val="0"/>
        <w:autoSpaceDN w:val="0"/>
        <w:adjustRightInd w:val="0"/>
        <w:spacing w:after="0" w:line="360" w:lineRule="auto"/>
        <w:jc w:val="both"/>
        <w:rPr>
          <w:rFonts w:ascii="Times New Roman" w:hAnsi="Times New Roman" w:cs="Times New Roman"/>
          <w:color w:val="000000" w:themeColor="text1"/>
          <w:sz w:val="24"/>
          <w:szCs w:val="24"/>
        </w:rPr>
      </w:pPr>
    </w:p>
    <w:p w:rsidR="004959BB" w:rsidRPr="005A0F35" w:rsidRDefault="004959BB" w:rsidP="005A0F35">
      <w:pPr>
        <w:autoSpaceDE w:val="0"/>
        <w:autoSpaceDN w:val="0"/>
        <w:adjustRightInd w:val="0"/>
        <w:spacing w:after="0" w:line="360" w:lineRule="auto"/>
        <w:jc w:val="both"/>
        <w:rPr>
          <w:rFonts w:ascii="Times New Roman" w:hAnsi="Times New Roman" w:cs="Times New Roman"/>
          <w:color w:val="000000" w:themeColor="text1"/>
          <w:sz w:val="24"/>
          <w:szCs w:val="24"/>
        </w:rPr>
      </w:pPr>
      <w:r w:rsidRPr="005A0F35">
        <w:rPr>
          <w:rFonts w:ascii="Times New Roman" w:hAnsi="Times New Roman" w:cs="Times New Roman"/>
          <w:color w:val="000000" w:themeColor="text1"/>
          <w:sz w:val="24"/>
          <w:szCs w:val="24"/>
        </w:rPr>
        <w:t>Furthermore, the compensation package in respect of the second tier of liability is</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assessed in accordance with the provisions of the Act which incorporates the Montreal</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Convention. Globally, under this Convention, the amount of compensation is worked out in</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 xml:space="preserve">each case separately on “proof of loss basis” and determined and </w:t>
      </w:r>
      <w:r w:rsidR="005D2C77" w:rsidRPr="005A0F35">
        <w:rPr>
          <w:rFonts w:ascii="Times New Roman" w:hAnsi="Times New Roman" w:cs="Times New Roman"/>
          <w:color w:val="000000" w:themeColor="text1"/>
          <w:sz w:val="24"/>
          <w:szCs w:val="24"/>
        </w:rPr>
        <w:t>dependent</w:t>
      </w:r>
      <w:r w:rsidRPr="005A0F35">
        <w:rPr>
          <w:rFonts w:ascii="Times New Roman" w:hAnsi="Times New Roman" w:cs="Times New Roman"/>
          <w:color w:val="000000" w:themeColor="text1"/>
          <w:sz w:val="24"/>
          <w:szCs w:val="24"/>
        </w:rPr>
        <w:t xml:space="preserve"> upon the</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parameters of loss suffered by each passenger or claimant namely, the age of the deceased,</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educational status, employment with salary, earning capacity, dependants, general economic</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status etc. In the event, the claimants challenge such compensation amount, and where</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damages of more than 100,000 SDR are sought, the airline would have the burden of proof</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that the incident was not on account of its negligence and may thereby avoid liability by</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proving that the accident which caused the injury or death was attributable to the negligence</w:t>
      </w:r>
      <w:r w:rsidR="003A053A">
        <w:rPr>
          <w:rFonts w:ascii="Times New Roman" w:hAnsi="Times New Roman" w:cs="Times New Roman"/>
          <w:color w:val="000000" w:themeColor="text1"/>
          <w:sz w:val="24"/>
          <w:szCs w:val="24"/>
        </w:rPr>
        <w:t xml:space="preserve"> </w:t>
      </w:r>
      <w:r w:rsidRPr="005A0F35">
        <w:rPr>
          <w:rFonts w:ascii="Times New Roman" w:hAnsi="Times New Roman" w:cs="Times New Roman"/>
          <w:color w:val="000000" w:themeColor="text1"/>
          <w:sz w:val="24"/>
          <w:szCs w:val="24"/>
        </w:rPr>
        <w:t>of a third party.</w:t>
      </w:r>
    </w:p>
    <w:p w:rsidR="004959BB" w:rsidRDefault="004959BB" w:rsidP="004959BB">
      <w:pPr>
        <w:spacing w:line="360" w:lineRule="auto"/>
        <w:jc w:val="both"/>
        <w:rPr>
          <w:rFonts w:ascii="Garamond" w:hAnsi="Garamond" w:cs="Garamond"/>
          <w:color w:val="FF6600"/>
          <w:sz w:val="24"/>
          <w:szCs w:val="24"/>
        </w:rPr>
      </w:pPr>
    </w:p>
    <w:p w:rsidR="00FC0749" w:rsidRDefault="003C7DD0" w:rsidP="003C7DD0">
      <w:pPr>
        <w:autoSpaceDE w:val="0"/>
        <w:autoSpaceDN w:val="0"/>
        <w:adjustRightInd w:val="0"/>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2.2 </w:t>
      </w:r>
      <w:r w:rsidR="00FC0749" w:rsidRPr="003C7DD0">
        <w:rPr>
          <w:rFonts w:ascii="Times New Roman" w:hAnsi="Times New Roman" w:cs="Times New Roman"/>
          <w:b/>
          <w:color w:val="000000" w:themeColor="text1"/>
          <w:sz w:val="24"/>
          <w:szCs w:val="24"/>
        </w:rPr>
        <w:t>Jurisdictional Flexibility</w:t>
      </w:r>
    </w:p>
    <w:p w:rsidR="003C7DD0" w:rsidRPr="003C7DD0" w:rsidRDefault="003C7DD0" w:rsidP="003C7DD0">
      <w:pPr>
        <w:autoSpaceDE w:val="0"/>
        <w:autoSpaceDN w:val="0"/>
        <w:adjustRightInd w:val="0"/>
        <w:spacing w:after="0" w:line="240" w:lineRule="auto"/>
        <w:jc w:val="both"/>
        <w:rPr>
          <w:rFonts w:ascii="Times New Roman" w:hAnsi="Times New Roman" w:cs="Times New Roman"/>
          <w:b/>
          <w:color w:val="000000" w:themeColor="text1"/>
          <w:sz w:val="24"/>
          <w:szCs w:val="24"/>
        </w:rPr>
      </w:pPr>
    </w:p>
    <w:p w:rsidR="00FC0749" w:rsidRDefault="00FC0749" w:rsidP="00C90421">
      <w:pPr>
        <w:autoSpaceDE w:val="0"/>
        <w:autoSpaceDN w:val="0"/>
        <w:adjustRightInd w:val="0"/>
        <w:spacing w:after="0" w:line="360" w:lineRule="auto"/>
        <w:jc w:val="both"/>
        <w:rPr>
          <w:rFonts w:ascii="Times New Roman" w:hAnsi="Times New Roman" w:cs="Times New Roman"/>
          <w:color w:val="000080"/>
          <w:sz w:val="24"/>
          <w:szCs w:val="24"/>
        </w:rPr>
      </w:pPr>
      <w:r w:rsidRPr="00C90421">
        <w:rPr>
          <w:rFonts w:ascii="Times New Roman" w:hAnsi="Times New Roman" w:cs="Times New Roman"/>
          <w:color w:val="000000" w:themeColor="text1"/>
          <w:sz w:val="24"/>
          <w:szCs w:val="24"/>
        </w:rPr>
        <w:t>In addition to the options provided under the Warsaw Convention and Hague</w:t>
      </w:r>
      <w:r w:rsidR="00C90421">
        <w:rPr>
          <w:rFonts w:ascii="Times New Roman" w:hAnsi="Times New Roman" w:cs="Times New Roman"/>
          <w:color w:val="000000" w:themeColor="text1"/>
          <w:sz w:val="24"/>
          <w:szCs w:val="24"/>
        </w:rPr>
        <w:t xml:space="preserve"> </w:t>
      </w:r>
      <w:r w:rsidRPr="00C90421">
        <w:rPr>
          <w:rFonts w:ascii="Times New Roman" w:hAnsi="Times New Roman" w:cs="Times New Roman"/>
          <w:color w:val="000000" w:themeColor="text1"/>
          <w:sz w:val="24"/>
          <w:szCs w:val="24"/>
        </w:rPr>
        <w:t>Protocol, the Montreal Convention added a “fifth” jurisdiction namely the principal and</w:t>
      </w:r>
      <w:r w:rsidR="00C90421">
        <w:rPr>
          <w:rFonts w:ascii="Times New Roman" w:hAnsi="Times New Roman" w:cs="Times New Roman"/>
          <w:color w:val="000000" w:themeColor="text1"/>
          <w:sz w:val="24"/>
          <w:szCs w:val="24"/>
        </w:rPr>
        <w:t xml:space="preserve"> </w:t>
      </w:r>
      <w:r w:rsidRPr="00C90421">
        <w:rPr>
          <w:rFonts w:ascii="Times New Roman" w:hAnsi="Times New Roman" w:cs="Times New Roman"/>
          <w:color w:val="000000" w:themeColor="text1"/>
          <w:sz w:val="24"/>
          <w:szCs w:val="24"/>
        </w:rPr>
        <w:t>permanent residence of the passenger provided the carrier operates in such jurisdiction and</w:t>
      </w:r>
      <w:r w:rsidR="00C90421">
        <w:rPr>
          <w:rFonts w:ascii="Times New Roman" w:hAnsi="Times New Roman" w:cs="Times New Roman"/>
          <w:color w:val="000000" w:themeColor="text1"/>
          <w:sz w:val="24"/>
          <w:szCs w:val="24"/>
        </w:rPr>
        <w:t xml:space="preserve"> </w:t>
      </w:r>
      <w:r w:rsidRPr="00C90421">
        <w:rPr>
          <w:rFonts w:ascii="Times New Roman" w:hAnsi="Times New Roman" w:cs="Times New Roman"/>
          <w:color w:val="000000" w:themeColor="text1"/>
          <w:sz w:val="24"/>
          <w:szCs w:val="24"/>
        </w:rPr>
        <w:t>such territory is a signatory to the Convention. This would ensure that Indian residents can</w:t>
      </w:r>
      <w:r w:rsidR="00C90421">
        <w:rPr>
          <w:rFonts w:ascii="Times New Roman" w:hAnsi="Times New Roman" w:cs="Times New Roman"/>
          <w:color w:val="000000" w:themeColor="text1"/>
          <w:sz w:val="24"/>
          <w:szCs w:val="24"/>
        </w:rPr>
        <w:t xml:space="preserve"> </w:t>
      </w:r>
      <w:r w:rsidR="007C2CDB" w:rsidRPr="00C90421">
        <w:rPr>
          <w:rFonts w:ascii="Times New Roman" w:hAnsi="Times New Roman" w:cs="Times New Roman"/>
          <w:color w:val="000000" w:themeColor="text1"/>
          <w:sz w:val="24"/>
          <w:szCs w:val="24"/>
        </w:rPr>
        <w:t>claim in the Indian courts against any airline as long as such journey is ratified by the</w:t>
      </w:r>
      <w:r w:rsidR="00C90421">
        <w:rPr>
          <w:rFonts w:ascii="Times New Roman" w:hAnsi="Times New Roman" w:cs="Times New Roman"/>
          <w:color w:val="000000" w:themeColor="text1"/>
          <w:sz w:val="24"/>
          <w:szCs w:val="24"/>
        </w:rPr>
        <w:t xml:space="preserve"> </w:t>
      </w:r>
      <w:r w:rsidR="007C2CDB" w:rsidRPr="00C90421">
        <w:rPr>
          <w:rFonts w:ascii="Times New Roman" w:hAnsi="Times New Roman" w:cs="Times New Roman"/>
          <w:color w:val="000000" w:themeColor="text1"/>
          <w:sz w:val="24"/>
          <w:szCs w:val="24"/>
        </w:rPr>
        <w:t>Convention. Given that the determination of damages under the Convention is a matter of</w:t>
      </w:r>
      <w:r w:rsidR="00C90421">
        <w:rPr>
          <w:rFonts w:ascii="Times New Roman" w:hAnsi="Times New Roman" w:cs="Times New Roman"/>
          <w:color w:val="000000" w:themeColor="text1"/>
          <w:sz w:val="24"/>
          <w:szCs w:val="24"/>
        </w:rPr>
        <w:t xml:space="preserve"> </w:t>
      </w:r>
      <w:r w:rsidR="007C2CDB" w:rsidRPr="00C90421">
        <w:rPr>
          <w:rFonts w:ascii="Times New Roman" w:hAnsi="Times New Roman" w:cs="Times New Roman"/>
          <w:color w:val="000000" w:themeColor="text1"/>
          <w:sz w:val="24"/>
          <w:szCs w:val="24"/>
        </w:rPr>
        <w:t>the local law, the jurisdiction where a claimant brings an action becomes significant as the</w:t>
      </w:r>
      <w:r w:rsidR="00C90421">
        <w:rPr>
          <w:rFonts w:ascii="Times New Roman" w:hAnsi="Times New Roman" w:cs="Times New Roman"/>
          <w:color w:val="000000" w:themeColor="text1"/>
          <w:sz w:val="24"/>
          <w:szCs w:val="24"/>
        </w:rPr>
        <w:t xml:space="preserve"> </w:t>
      </w:r>
      <w:r w:rsidR="007C2CDB" w:rsidRPr="00C90421">
        <w:rPr>
          <w:rFonts w:ascii="Times New Roman" w:hAnsi="Times New Roman" w:cs="Times New Roman"/>
          <w:color w:val="000000" w:themeColor="text1"/>
          <w:sz w:val="24"/>
          <w:szCs w:val="24"/>
        </w:rPr>
        <w:t>assessment of damages may vary from one jurisdiction to another</w:t>
      </w:r>
      <w:r w:rsidR="007C2CDB" w:rsidRPr="00C90421">
        <w:rPr>
          <w:rFonts w:ascii="Times New Roman" w:hAnsi="Times New Roman" w:cs="Times New Roman"/>
          <w:color w:val="000080"/>
          <w:sz w:val="24"/>
          <w:szCs w:val="24"/>
        </w:rPr>
        <w:t>.</w:t>
      </w:r>
    </w:p>
    <w:p w:rsidR="00206F74" w:rsidRDefault="00206F74" w:rsidP="00C90421">
      <w:pPr>
        <w:autoSpaceDE w:val="0"/>
        <w:autoSpaceDN w:val="0"/>
        <w:adjustRightInd w:val="0"/>
        <w:spacing w:after="0" w:line="360" w:lineRule="auto"/>
        <w:jc w:val="both"/>
        <w:rPr>
          <w:rFonts w:ascii="Times New Roman" w:hAnsi="Times New Roman" w:cs="Times New Roman"/>
          <w:color w:val="000080"/>
          <w:sz w:val="24"/>
          <w:szCs w:val="24"/>
        </w:rPr>
      </w:pPr>
    </w:p>
    <w:p w:rsidR="00206F74" w:rsidRDefault="00206F74" w:rsidP="00EF4D7F">
      <w:pPr>
        <w:autoSpaceDE w:val="0"/>
        <w:autoSpaceDN w:val="0"/>
        <w:adjustRightInd w:val="0"/>
        <w:spacing w:after="0" w:line="240" w:lineRule="auto"/>
        <w:jc w:val="both"/>
        <w:rPr>
          <w:rFonts w:ascii="Times New Roman" w:hAnsi="Times New Roman" w:cs="Times New Roman"/>
          <w:i/>
          <w:color w:val="000000" w:themeColor="text1"/>
          <w:sz w:val="24"/>
          <w:szCs w:val="24"/>
          <w:u w:val="single"/>
        </w:rPr>
      </w:pPr>
      <w:r w:rsidRPr="00EF4D7F">
        <w:rPr>
          <w:rFonts w:ascii="Times New Roman" w:hAnsi="Times New Roman" w:cs="Times New Roman"/>
          <w:i/>
          <w:color w:val="000000" w:themeColor="text1"/>
          <w:sz w:val="24"/>
          <w:szCs w:val="24"/>
          <w:u w:val="single"/>
        </w:rPr>
        <w:t>Impact on compensation in the recent Mangalore crash</w:t>
      </w:r>
    </w:p>
    <w:p w:rsidR="00EF4D7F" w:rsidRPr="00EF4D7F" w:rsidRDefault="00EF4D7F" w:rsidP="00EF4D7F">
      <w:pPr>
        <w:autoSpaceDE w:val="0"/>
        <w:autoSpaceDN w:val="0"/>
        <w:adjustRightInd w:val="0"/>
        <w:spacing w:after="0" w:line="240" w:lineRule="auto"/>
        <w:jc w:val="both"/>
        <w:rPr>
          <w:rFonts w:ascii="Times New Roman" w:hAnsi="Times New Roman" w:cs="Times New Roman"/>
          <w:i/>
          <w:color w:val="000000" w:themeColor="text1"/>
          <w:sz w:val="24"/>
          <w:szCs w:val="24"/>
          <w:u w:val="single"/>
        </w:rPr>
      </w:pPr>
    </w:p>
    <w:p w:rsidR="00206F74" w:rsidRDefault="00206F74" w:rsidP="00EF4D7F">
      <w:pPr>
        <w:autoSpaceDE w:val="0"/>
        <w:autoSpaceDN w:val="0"/>
        <w:adjustRightInd w:val="0"/>
        <w:spacing w:after="0" w:line="360" w:lineRule="auto"/>
        <w:jc w:val="both"/>
        <w:rPr>
          <w:rFonts w:ascii="Times New Roman" w:hAnsi="Times New Roman" w:cs="Times New Roman"/>
          <w:color w:val="000000" w:themeColor="text1"/>
          <w:sz w:val="24"/>
          <w:szCs w:val="24"/>
        </w:rPr>
      </w:pPr>
      <w:r w:rsidRPr="00EF4D7F">
        <w:rPr>
          <w:rFonts w:ascii="Times New Roman" w:hAnsi="Times New Roman" w:cs="Times New Roman"/>
          <w:color w:val="000000" w:themeColor="text1"/>
          <w:sz w:val="24"/>
          <w:szCs w:val="24"/>
        </w:rPr>
        <w:t>In the recent crash, since the carrier NACIL was operating an international carriage</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from Dubai to Mangalore, the provisions of Montreal Convention were triggered and</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 xml:space="preserve">NACIL had to pay the </w:t>
      </w:r>
      <w:r w:rsidRPr="00EF4D7F">
        <w:rPr>
          <w:rFonts w:ascii="Times New Roman" w:hAnsi="Times New Roman" w:cs="Times New Roman"/>
          <w:color w:val="000000" w:themeColor="text1"/>
          <w:sz w:val="24"/>
          <w:szCs w:val="24"/>
        </w:rPr>
        <w:lastRenderedPageBreak/>
        <w:t>compensation based on the two-tier system with strict liability at the</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outset. The claimants could potentially bring action in the UAE courts (depending upon where</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the contract is made), or India (principal place of business of carrier) or any third state provided</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permanent residence of such claimant is a party to the Convention.</w:t>
      </w:r>
    </w:p>
    <w:p w:rsidR="00EF4D7F" w:rsidRPr="00EF4D7F" w:rsidRDefault="00EF4D7F" w:rsidP="00EF4D7F">
      <w:pPr>
        <w:autoSpaceDE w:val="0"/>
        <w:autoSpaceDN w:val="0"/>
        <w:adjustRightInd w:val="0"/>
        <w:spacing w:after="0" w:line="360" w:lineRule="auto"/>
        <w:jc w:val="both"/>
        <w:rPr>
          <w:rFonts w:ascii="Times New Roman" w:hAnsi="Times New Roman" w:cs="Times New Roman"/>
          <w:color w:val="000000" w:themeColor="text1"/>
          <w:sz w:val="24"/>
          <w:szCs w:val="24"/>
        </w:rPr>
      </w:pPr>
    </w:p>
    <w:p w:rsidR="00206F74" w:rsidRDefault="00206F74" w:rsidP="00EF4D7F">
      <w:pPr>
        <w:autoSpaceDE w:val="0"/>
        <w:autoSpaceDN w:val="0"/>
        <w:adjustRightInd w:val="0"/>
        <w:spacing w:after="0" w:line="360" w:lineRule="auto"/>
        <w:jc w:val="both"/>
        <w:rPr>
          <w:rFonts w:ascii="Times New Roman" w:hAnsi="Times New Roman" w:cs="Times New Roman"/>
          <w:color w:val="000000" w:themeColor="text1"/>
          <w:sz w:val="24"/>
          <w:szCs w:val="24"/>
        </w:rPr>
      </w:pPr>
      <w:r w:rsidRPr="00EF4D7F">
        <w:rPr>
          <w:rFonts w:ascii="Times New Roman" w:hAnsi="Times New Roman" w:cs="Times New Roman"/>
          <w:color w:val="000000" w:themeColor="text1"/>
          <w:sz w:val="24"/>
          <w:szCs w:val="24"/>
        </w:rPr>
        <w:t>We note</w:t>
      </w:r>
      <w:r w:rsidR="00EF4D7F">
        <w:rPr>
          <w:rStyle w:val="FootnoteReference"/>
          <w:rFonts w:ascii="Times New Roman" w:hAnsi="Times New Roman" w:cs="Times New Roman"/>
          <w:color w:val="000000" w:themeColor="text1"/>
          <w:sz w:val="24"/>
          <w:szCs w:val="24"/>
        </w:rPr>
        <w:footnoteReference w:id="11"/>
      </w:r>
      <w:r w:rsidRPr="00EF4D7F">
        <w:rPr>
          <w:rFonts w:ascii="Times New Roman" w:hAnsi="Times New Roman" w:cs="Times New Roman"/>
          <w:color w:val="000000" w:themeColor="text1"/>
          <w:sz w:val="24"/>
          <w:szCs w:val="24"/>
        </w:rPr>
        <w:t xml:space="preserve"> that the insurers of NACIL have offered a flat interim compensation to the</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 xml:space="preserve">next of kin of the 128 deceased passengers viz., Rs. 10 </w:t>
      </w:r>
      <w:proofErr w:type="spellStart"/>
      <w:r w:rsidRPr="00EF4D7F">
        <w:rPr>
          <w:rFonts w:ascii="Times New Roman" w:hAnsi="Times New Roman" w:cs="Times New Roman"/>
          <w:color w:val="000000" w:themeColor="text1"/>
          <w:sz w:val="24"/>
          <w:szCs w:val="24"/>
        </w:rPr>
        <w:t>lakhs</w:t>
      </w:r>
      <w:proofErr w:type="spellEnd"/>
      <w:r w:rsidRPr="00EF4D7F">
        <w:rPr>
          <w:rFonts w:ascii="Times New Roman" w:hAnsi="Times New Roman" w:cs="Times New Roman"/>
          <w:color w:val="000000" w:themeColor="text1"/>
          <w:sz w:val="24"/>
          <w:szCs w:val="24"/>
        </w:rPr>
        <w:t xml:space="preserve"> (approximately $22,000) to each</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 xml:space="preserve">adult deceased passenger; Rs. 5 </w:t>
      </w:r>
      <w:proofErr w:type="spellStart"/>
      <w:r w:rsidRPr="00EF4D7F">
        <w:rPr>
          <w:rFonts w:ascii="Times New Roman" w:hAnsi="Times New Roman" w:cs="Times New Roman"/>
          <w:color w:val="000000" w:themeColor="text1"/>
          <w:sz w:val="24"/>
          <w:szCs w:val="24"/>
        </w:rPr>
        <w:t>lakhs</w:t>
      </w:r>
      <w:proofErr w:type="spellEnd"/>
      <w:r w:rsidRPr="00EF4D7F">
        <w:rPr>
          <w:rFonts w:ascii="Times New Roman" w:hAnsi="Times New Roman" w:cs="Times New Roman"/>
          <w:color w:val="000000" w:themeColor="text1"/>
          <w:sz w:val="24"/>
          <w:szCs w:val="24"/>
        </w:rPr>
        <w:t xml:space="preserve"> (approximately $11,000) to each passenger below the age</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 xml:space="preserve">of 12; with Rs. 2 </w:t>
      </w:r>
      <w:proofErr w:type="spellStart"/>
      <w:r w:rsidRPr="00EF4D7F">
        <w:rPr>
          <w:rFonts w:ascii="Times New Roman" w:hAnsi="Times New Roman" w:cs="Times New Roman"/>
          <w:color w:val="000000" w:themeColor="text1"/>
          <w:sz w:val="24"/>
          <w:szCs w:val="24"/>
        </w:rPr>
        <w:t>lakhs</w:t>
      </w:r>
      <w:proofErr w:type="spellEnd"/>
      <w:r w:rsidRPr="00EF4D7F">
        <w:rPr>
          <w:rFonts w:ascii="Times New Roman" w:hAnsi="Times New Roman" w:cs="Times New Roman"/>
          <w:color w:val="000000" w:themeColor="text1"/>
          <w:sz w:val="24"/>
          <w:szCs w:val="24"/>
        </w:rPr>
        <w:t xml:space="preserve"> (approximately $4,400) disbursed to each injured passenger.</w:t>
      </w:r>
    </w:p>
    <w:p w:rsidR="00EF4D7F" w:rsidRPr="00EF4D7F" w:rsidRDefault="00EF4D7F" w:rsidP="00EF4D7F">
      <w:pPr>
        <w:autoSpaceDE w:val="0"/>
        <w:autoSpaceDN w:val="0"/>
        <w:adjustRightInd w:val="0"/>
        <w:spacing w:after="0" w:line="360" w:lineRule="auto"/>
        <w:jc w:val="both"/>
        <w:rPr>
          <w:rFonts w:ascii="Times New Roman" w:hAnsi="Times New Roman" w:cs="Times New Roman"/>
          <w:color w:val="000000" w:themeColor="text1"/>
          <w:sz w:val="24"/>
          <w:szCs w:val="24"/>
        </w:rPr>
      </w:pPr>
    </w:p>
    <w:p w:rsidR="00206F74" w:rsidRDefault="00206F74" w:rsidP="00EF4D7F">
      <w:pPr>
        <w:autoSpaceDE w:val="0"/>
        <w:autoSpaceDN w:val="0"/>
        <w:adjustRightInd w:val="0"/>
        <w:spacing w:after="0" w:line="360" w:lineRule="auto"/>
        <w:jc w:val="both"/>
        <w:rPr>
          <w:rFonts w:ascii="Times New Roman" w:hAnsi="Times New Roman" w:cs="Times New Roman"/>
          <w:color w:val="000000" w:themeColor="text1"/>
          <w:sz w:val="24"/>
          <w:szCs w:val="24"/>
        </w:rPr>
      </w:pPr>
      <w:r w:rsidRPr="00EF4D7F">
        <w:rPr>
          <w:rFonts w:ascii="Times New Roman" w:hAnsi="Times New Roman" w:cs="Times New Roman"/>
          <w:color w:val="000000" w:themeColor="text1"/>
          <w:sz w:val="24"/>
          <w:szCs w:val="24"/>
        </w:rPr>
        <w:t>Given the low compensation, it is likely that the next of kin of some of the deceased</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passengers and the injured passengers would seek a higher final compensation which would</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be at least close to 100,000 SDR or $155,000. It appears that NACIL is attempting to</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determine any further compensation on the basis of “proof of loss” implying that a child and</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an adult placed low in the economic strata would qualify for less compensation than an adult</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who is healthy and was from a good economic status</w:t>
      </w:r>
      <w:r w:rsidR="00E04C38">
        <w:rPr>
          <w:rStyle w:val="FootnoteReference"/>
          <w:rFonts w:ascii="Times New Roman" w:hAnsi="Times New Roman" w:cs="Times New Roman"/>
          <w:color w:val="000000" w:themeColor="text1"/>
          <w:sz w:val="24"/>
          <w:szCs w:val="24"/>
        </w:rPr>
        <w:footnoteReference w:id="12"/>
      </w:r>
      <w:r w:rsidRPr="00EF4D7F">
        <w:rPr>
          <w:rFonts w:ascii="Times New Roman" w:hAnsi="Times New Roman" w:cs="Times New Roman"/>
          <w:color w:val="000000" w:themeColor="text1"/>
          <w:sz w:val="24"/>
          <w:szCs w:val="24"/>
        </w:rPr>
        <w:t>, since such amount would be much</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lesser than 100,000 SDR and this would reduce NACIL’s liability. Assuming the claimants</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file the claim in India, it will be interesting to see whether the courts assess the strict liability</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on the basis of the “proof of loss” basis or be more liberal in granting compensation. The</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final compensation determined would set the base line for compensation in future liability</w:t>
      </w:r>
      <w:r w:rsidR="00EF4D7F">
        <w:rPr>
          <w:rFonts w:ascii="Times New Roman" w:hAnsi="Times New Roman" w:cs="Times New Roman"/>
          <w:color w:val="000000" w:themeColor="text1"/>
          <w:sz w:val="24"/>
          <w:szCs w:val="24"/>
        </w:rPr>
        <w:t xml:space="preserve"> </w:t>
      </w:r>
      <w:r w:rsidRPr="00EF4D7F">
        <w:rPr>
          <w:rFonts w:ascii="Times New Roman" w:hAnsi="Times New Roman" w:cs="Times New Roman"/>
          <w:color w:val="000000" w:themeColor="text1"/>
          <w:sz w:val="24"/>
          <w:szCs w:val="24"/>
        </w:rPr>
        <w:t>cases.</w:t>
      </w:r>
    </w:p>
    <w:p w:rsidR="00563461" w:rsidRPr="00563461" w:rsidRDefault="00563461" w:rsidP="00563461">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563461">
        <w:rPr>
          <w:rFonts w:ascii="Times New Roman" w:eastAsia="Times New Roman" w:hAnsi="Times New Roman" w:cs="Times New Roman"/>
          <w:color w:val="000000"/>
          <w:sz w:val="24"/>
          <w:szCs w:val="24"/>
        </w:rPr>
        <w:t>Most aviation liability insurance policies specify that the aircraft will be covered as long as certain named pilots are flying the plane and these pilots meet all F.A.A. requirements. These conditions are usually contained in what is called the "Pilot Warranty" provision.</w:t>
      </w:r>
    </w:p>
    <w:p w:rsidR="00563461" w:rsidRPr="00563461" w:rsidRDefault="00563461" w:rsidP="00563461">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563461">
        <w:rPr>
          <w:rFonts w:ascii="Times New Roman" w:eastAsia="Times New Roman" w:hAnsi="Times New Roman" w:cs="Times New Roman"/>
          <w:color w:val="000000"/>
          <w:sz w:val="24"/>
          <w:szCs w:val="24"/>
        </w:rPr>
        <w:t xml:space="preserve">The insurance companies are very strict when it comes to the issue of whether or not the pilot warranty has been met. Accordingly, if a named pilot was not operating the aircraft when a mishap occurred or he or she was not current (no medical, biennial or other currency </w:t>
      </w:r>
      <w:r w:rsidRPr="00563461">
        <w:rPr>
          <w:rFonts w:ascii="Times New Roman" w:eastAsia="Times New Roman" w:hAnsi="Times New Roman" w:cs="Times New Roman"/>
          <w:color w:val="000000"/>
          <w:sz w:val="24"/>
          <w:szCs w:val="24"/>
        </w:rPr>
        <w:lastRenderedPageBreak/>
        <w:t>requirement), there is a very high possibility that the insurance company will not pay for the injury or damage, despite the fact that the particular pilot or currency had nothing to do with the accident. Furthermore, while there is a split amongst the states, the majority of state courts will uphold the coverage denial under the jurisdictional i</w:t>
      </w:r>
      <w:r>
        <w:rPr>
          <w:rFonts w:ascii="Times New Roman" w:eastAsia="Times New Roman" w:hAnsi="Times New Roman" w:cs="Times New Roman"/>
          <w:color w:val="000000"/>
          <w:sz w:val="24"/>
          <w:szCs w:val="24"/>
        </w:rPr>
        <w:t xml:space="preserve">nterpretation that if the </w:t>
      </w:r>
      <w:proofErr w:type="gramStart"/>
      <w:r>
        <w:rPr>
          <w:rFonts w:ascii="Times New Roman" w:eastAsia="Times New Roman" w:hAnsi="Times New Roman" w:cs="Times New Roman"/>
          <w:color w:val="000000"/>
          <w:sz w:val="24"/>
          <w:szCs w:val="24"/>
        </w:rPr>
        <w:t xml:space="preserve">pilot </w:t>
      </w:r>
      <w:r w:rsidRPr="00563461">
        <w:rPr>
          <w:rFonts w:ascii="Times New Roman" w:eastAsia="Times New Roman" w:hAnsi="Times New Roman" w:cs="Times New Roman"/>
          <w:color w:val="000000"/>
          <w:sz w:val="24"/>
          <w:szCs w:val="24"/>
        </w:rPr>
        <w:t>warranty</w:t>
      </w:r>
      <w:proofErr w:type="gramEnd"/>
      <w:r w:rsidRPr="00563461">
        <w:rPr>
          <w:rFonts w:ascii="Times New Roman" w:eastAsia="Times New Roman" w:hAnsi="Times New Roman" w:cs="Times New Roman"/>
          <w:color w:val="000000"/>
          <w:sz w:val="24"/>
          <w:szCs w:val="24"/>
        </w:rPr>
        <w:t xml:space="preserve"> provision was not met, it does not matter that this had nothing to do with the cause of the accident.</w:t>
      </w:r>
    </w:p>
    <w:p w:rsidR="00563461" w:rsidRDefault="00563461" w:rsidP="00563461">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563461">
        <w:rPr>
          <w:rFonts w:ascii="Times New Roman" w:eastAsia="Times New Roman" w:hAnsi="Times New Roman" w:cs="Times New Roman"/>
          <w:color w:val="000000"/>
          <w:sz w:val="24"/>
          <w:szCs w:val="24"/>
        </w:rPr>
        <w:t>Therefore, in these states (California being one), it is imperative that only pilots authorized under the insurance policy who are properly certified (current) are operating your aircraft. If not, you could be left "holding the bag" as an aircraft owner/operator, with no liability coverage or legal defense coverage. That could get very expensive, in more ways than one, no matter what the cause.</w:t>
      </w:r>
      <w:r w:rsidR="008762E7">
        <w:rPr>
          <w:rStyle w:val="FootnoteReference"/>
          <w:rFonts w:ascii="Times New Roman" w:eastAsia="Times New Roman" w:hAnsi="Times New Roman" w:cs="Times New Roman"/>
          <w:color w:val="000000"/>
          <w:sz w:val="24"/>
          <w:szCs w:val="24"/>
        </w:rPr>
        <w:footnoteReference w:id="13"/>
      </w:r>
    </w:p>
    <w:p w:rsidR="00A11E57" w:rsidRPr="00A11E57" w:rsidRDefault="00A11E57" w:rsidP="00563461">
      <w:pPr>
        <w:shd w:val="clear" w:color="auto" w:fill="FFFFFF"/>
        <w:spacing w:before="100" w:beforeAutospacing="1" w:after="100" w:afterAutospacing="1" w:line="360" w:lineRule="auto"/>
        <w:jc w:val="both"/>
        <w:rPr>
          <w:rFonts w:ascii="Times New Roman" w:eastAsia="Times New Roman" w:hAnsi="Times New Roman" w:cs="Times New Roman"/>
          <w:b/>
          <w:color w:val="000000"/>
          <w:sz w:val="24"/>
          <w:szCs w:val="24"/>
          <w:u w:val="single"/>
        </w:rPr>
      </w:pPr>
      <w:r w:rsidRPr="00A11E57">
        <w:rPr>
          <w:rFonts w:ascii="Times New Roman" w:eastAsia="Times New Roman" w:hAnsi="Times New Roman" w:cs="Times New Roman"/>
          <w:b/>
          <w:color w:val="000000"/>
          <w:sz w:val="24"/>
          <w:szCs w:val="24"/>
          <w:u w:val="single"/>
        </w:rPr>
        <w:t>CONCLUSION</w:t>
      </w:r>
    </w:p>
    <w:p w:rsidR="00563461" w:rsidRPr="000425F8" w:rsidRDefault="000425F8" w:rsidP="000425F8">
      <w:pPr>
        <w:autoSpaceDE w:val="0"/>
        <w:autoSpaceDN w:val="0"/>
        <w:adjustRightInd w:val="0"/>
        <w:spacing w:after="0" w:line="360" w:lineRule="auto"/>
        <w:jc w:val="both"/>
        <w:rPr>
          <w:rFonts w:ascii="Times New Roman" w:hAnsi="Times New Roman" w:cs="Times New Roman"/>
          <w:color w:val="000000" w:themeColor="text1"/>
          <w:sz w:val="24"/>
          <w:szCs w:val="24"/>
        </w:rPr>
      </w:pPr>
      <w:r w:rsidRPr="000425F8">
        <w:rPr>
          <w:rFonts w:ascii="Times New Roman" w:hAnsi="Times New Roman" w:cs="Times New Roman"/>
          <w:color w:val="000000" w:themeColor="text1"/>
          <w:sz w:val="24"/>
          <w:szCs w:val="24"/>
        </w:rPr>
        <w:t>No doubt, the Montreal Convention has been a long-awaited change providing</w:t>
      </w:r>
      <w:r>
        <w:rPr>
          <w:rFonts w:ascii="Times New Roman" w:hAnsi="Times New Roman" w:cs="Times New Roman"/>
          <w:color w:val="000000" w:themeColor="text1"/>
          <w:sz w:val="24"/>
          <w:szCs w:val="24"/>
        </w:rPr>
        <w:t xml:space="preserve"> </w:t>
      </w:r>
      <w:r w:rsidRPr="000425F8">
        <w:rPr>
          <w:rFonts w:ascii="Times New Roman" w:hAnsi="Times New Roman" w:cs="Times New Roman"/>
          <w:color w:val="000000" w:themeColor="text1"/>
          <w:sz w:val="24"/>
          <w:szCs w:val="24"/>
        </w:rPr>
        <w:t>airlines and the passengers a more reliable regulation as opposed to the Warsaw regime</w:t>
      </w:r>
      <w:r>
        <w:rPr>
          <w:rFonts w:ascii="Times New Roman" w:hAnsi="Times New Roman" w:cs="Times New Roman"/>
          <w:color w:val="000000" w:themeColor="text1"/>
          <w:sz w:val="24"/>
          <w:szCs w:val="24"/>
        </w:rPr>
        <w:t xml:space="preserve"> </w:t>
      </w:r>
      <w:r w:rsidRPr="000425F8">
        <w:rPr>
          <w:rFonts w:ascii="Times New Roman" w:hAnsi="Times New Roman" w:cs="Times New Roman"/>
          <w:color w:val="000000" w:themeColor="text1"/>
          <w:sz w:val="24"/>
          <w:szCs w:val="24"/>
        </w:rPr>
        <w:t>which provided extremely low limits of compensation. Furthermore, with a large number of</w:t>
      </w:r>
      <w:r>
        <w:rPr>
          <w:rFonts w:ascii="Times New Roman" w:hAnsi="Times New Roman" w:cs="Times New Roman"/>
          <w:color w:val="000000" w:themeColor="text1"/>
          <w:sz w:val="24"/>
          <w:szCs w:val="24"/>
        </w:rPr>
        <w:t xml:space="preserve"> </w:t>
      </w:r>
      <w:r w:rsidRPr="000425F8">
        <w:rPr>
          <w:rFonts w:ascii="Times New Roman" w:hAnsi="Times New Roman" w:cs="Times New Roman"/>
          <w:color w:val="000000" w:themeColor="text1"/>
          <w:sz w:val="24"/>
          <w:szCs w:val="24"/>
        </w:rPr>
        <w:t>countries where Indian carriers have services, being signatories to the Montreal Convention,</w:t>
      </w:r>
      <w:r>
        <w:rPr>
          <w:rFonts w:ascii="Times New Roman" w:hAnsi="Times New Roman" w:cs="Times New Roman"/>
          <w:color w:val="000000" w:themeColor="text1"/>
          <w:sz w:val="24"/>
          <w:szCs w:val="24"/>
        </w:rPr>
        <w:t xml:space="preserve"> </w:t>
      </w:r>
      <w:r w:rsidRPr="000425F8">
        <w:rPr>
          <w:rFonts w:ascii="Times New Roman" w:hAnsi="Times New Roman" w:cs="Times New Roman"/>
          <w:color w:val="000000" w:themeColor="text1"/>
          <w:sz w:val="24"/>
          <w:szCs w:val="24"/>
        </w:rPr>
        <w:t>the accession has brought reasonable parity in the compensation available to Indian</w:t>
      </w:r>
      <w:r>
        <w:rPr>
          <w:rFonts w:ascii="Times New Roman" w:hAnsi="Times New Roman" w:cs="Times New Roman"/>
          <w:color w:val="000000" w:themeColor="text1"/>
          <w:sz w:val="24"/>
          <w:szCs w:val="24"/>
        </w:rPr>
        <w:t xml:space="preserve"> </w:t>
      </w:r>
      <w:r w:rsidRPr="000425F8">
        <w:rPr>
          <w:rFonts w:ascii="Times New Roman" w:hAnsi="Times New Roman" w:cs="Times New Roman"/>
          <w:color w:val="000000" w:themeColor="text1"/>
          <w:sz w:val="24"/>
          <w:szCs w:val="24"/>
        </w:rPr>
        <w:t>passengers. However, since liability under Montreal Convention would vary largely</w:t>
      </w:r>
      <w:r>
        <w:rPr>
          <w:rFonts w:ascii="Times New Roman" w:hAnsi="Times New Roman" w:cs="Times New Roman"/>
          <w:color w:val="000000" w:themeColor="text1"/>
          <w:sz w:val="24"/>
          <w:szCs w:val="24"/>
        </w:rPr>
        <w:t xml:space="preserve"> </w:t>
      </w:r>
      <w:r w:rsidRPr="000425F8">
        <w:rPr>
          <w:rFonts w:ascii="Times New Roman" w:hAnsi="Times New Roman" w:cs="Times New Roman"/>
          <w:color w:val="000000" w:themeColor="text1"/>
          <w:sz w:val="24"/>
          <w:szCs w:val="24"/>
        </w:rPr>
        <w:t>depending upon the jurisdiction where the claim is made, it is yet to be seen whether the Convention also facilitates swift recovery of proven damages without the need for lengthy</w:t>
      </w:r>
      <w:r>
        <w:rPr>
          <w:rFonts w:ascii="Times New Roman" w:hAnsi="Times New Roman" w:cs="Times New Roman"/>
          <w:color w:val="000000" w:themeColor="text1"/>
          <w:sz w:val="24"/>
          <w:szCs w:val="24"/>
        </w:rPr>
        <w:t xml:space="preserve"> </w:t>
      </w:r>
      <w:r w:rsidRPr="000425F8">
        <w:rPr>
          <w:rFonts w:ascii="Times New Roman" w:hAnsi="Times New Roman" w:cs="Times New Roman"/>
          <w:color w:val="000000" w:themeColor="text1"/>
          <w:sz w:val="24"/>
          <w:szCs w:val="24"/>
        </w:rPr>
        <w:t>litigation by the method of strict-liability for Indian residents.</w:t>
      </w:r>
    </w:p>
    <w:sectPr w:rsidR="00563461" w:rsidRPr="000425F8" w:rsidSect="00F6644D">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3D9" w:rsidRDefault="002673D9" w:rsidP="00B060C4">
      <w:pPr>
        <w:spacing w:after="0" w:line="240" w:lineRule="auto"/>
      </w:pPr>
      <w:r>
        <w:separator/>
      </w:r>
    </w:p>
  </w:endnote>
  <w:endnote w:type="continuationSeparator" w:id="0">
    <w:p w:rsidR="002673D9" w:rsidRDefault="002673D9" w:rsidP="00B060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BoldMT">
    <w:panose1 w:val="00000000000000000000"/>
    <w:charset w:val="00"/>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3D9" w:rsidRDefault="002673D9" w:rsidP="00B060C4">
      <w:pPr>
        <w:spacing w:after="0" w:line="240" w:lineRule="auto"/>
      </w:pPr>
      <w:r>
        <w:separator/>
      </w:r>
    </w:p>
  </w:footnote>
  <w:footnote w:type="continuationSeparator" w:id="0">
    <w:p w:rsidR="002673D9" w:rsidRDefault="002673D9" w:rsidP="00B060C4">
      <w:pPr>
        <w:spacing w:after="0" w:line="240" w:lineRule="auto"/>
      </w:pPr>
      <w:r>
        <w:continuationSeparator/>
      </w:r>
    </w:p>
  </w:footnote>
  <w:footnote w:id="1">
    <w:p w:rsidR="00885FC4" w:rsidRDefault="00885FC4">
      <w:pPr>
        <w:pStyle w:val="FootnoteText"/>
        <w:rPr>
          <w:rFonts w:ascii="Times New Roman" w:hAnsi="Times New Roman"/>
        </w:rPr>
      </w:pPr>
      <w:r w:rsidRPr="007F192D">
        <w:rPr>
          <w:rStyle w:val="FootnoteReference"/>
          <w:rFonts w:ascii="Times New Roman" w:hAnsi="Times New Roman"/>
        </w:rPr>
        <w:footnoteRef/>
      </w:r>
      <w:r w:rsidRPr="007F192D">
        <w:rPr>
          <w:rFonts w:ascii="Times New Roman" w:hAnsi="Times New Roman"/>
        </w:rPr>
        <w:t xml:space="preserve"> The Carriage by Air Act, 1972:  The Act contains 9 substantive sections; three Schedules; and one Annexure.</w:t>
      </w:r>
    </w:p>
    <w:p w:rsidR="0077243C" w:rsidRPr="007F192D" w:rsidRDefault="0077243C">
      <w:pPr>
        <w:pStyle w:val="FootnoteText"/>
        <w:rPr>
          <w:rFonts w:ascii="Times New Roman" w:hAnsi="Times New Roman"/>
        </w:rPr>
      </w:pPr>
    </w:p>
  </w:footnote>
  <w:footnote w:id="2">
    <w:p w:rsidR="00B060C4" w:rsidRDefault="00B060C4" w:rsidP="00B060C4">
      <w:pPr>
        <w:pStyle w:val="FootnoteText"/>
        <w:rPr>
          <w:rFonts w:ascii="Times New Roman" w:hAnsi="Times New Roman"/>
        </w:rPr>
      </w:pPr>
      <w:r w:rsidRPr="007F192D">
        <w:rPr>
          <w:rStyle w:val="FootnoteReference"/>
          <w:rFonts w:ascii="Times New Roman" w:hAnsi="Times New Roman"/>
        </w:rPr>
        <w:footnoteRef/>
      </w:r>
      <w:r w:rsidRPr="007F192D">
        <w:rPr>
          <w:rFonts w:ascii="Times New Roman" w:hAnsi="Times New Roman"/>
        </w:rPr>
        <w:t xml:space="preserve"> Absolute Liability: a concept in law which means that a carrier is liable, irrespective of whether or not it was at fault in the damage sustained by a passenger on board. Also known as ‘no fault’ liability, it a legal conc</w:t>
      </w:r>
      <w:r w:rsidR="007C58E6" w:rsidRPr="007F192D">
        <w:rPr>
          <w:rFonts w:ascii="Times New Roman" w:hAnsi="Times New Roman"/>
        </w:rPr>
        <w:t>ept in civil law jurisprudence.</w:t>
      </w:r>
    </w:p>
    <w:p w:rsidR="0077243C" w:rsidRPr="007F192D" w:rsidRDefault="0077243C" w:rsidP="00B060C4">
      <w:pPr>
        <w:pStyle w:val="FootnoteText"/>
        <w:rPr>
          <w:rFonts w:ascii="Times New Roman" w:hAnsi="Times New Roman"/>
        </w:rPr>
      </w:pPr>
    </w:p>
  </w:footnote>
  <w:footnote w:id="3">
    <w:p w:rsidR="00B060C4" w:rsidRDefault="00B060C4" w:rsidP="00B060C4">
      <w:pPr>
        <w:pStyle w:val="FootnoteText"/>
        <w:rPr>
          <w:rFonts w:ascii="Times New Roman" w:hAnsi="Times New Roman"/>
        </w:rPr>
      </w:pPr>
      <w:r w:rsidRPr="007F192D">
        <w:rPr>
          <w:rStyle w:val="FootnoteReference"/>
          <w:rFonts w:ascii="Times New Roman" w:hAnsi="Times New Roman"/>
        </w:rPr>
        <w:footnoteRef/>
      </w:r>
      <w:r w:rsidRPr="007F192D">
        <w:rPr>
          <w:rFonts w:ascii="Times New Roman" w:hAnsi="Times New Roman"/>
        </w:rPr>
        <w:t xml:space="preserve"> The Carriage by Air Act, 1972:  First Schedule harmonizes provisions of the Warsaw Convention 1929 on liability of an air carrier engaged in international civil aviation.</w:t>
      </w:r>
    </w:p>
    <w:p w:rsidR="0077243C" w:rsidRPr="007F192D" w:rsidRDefault="0077243C" w:rsidP="00B060C4">
      <w:pPr>
        <w:pStyle w:val="FootnoteText"/>
        <w:rPr>
          <w:rFonts w:ascii="Times New Roman" w:hAnsi="Times New Roman"/>
        </w:rPr>
      </w:pPr>
    </w:p>
  </w:footnote>
  <w:footnote w:id="4">
    <w:p w:rsidR="004C54EE" w:rsidRDefault="004C54EE">
      <w:pPr>
        <w:pStyle w:val="FootnoteText"/>
        <w:rPr>
          <w:rFonts w:ascii="Times New Roman" w:hAnsi="Times New Roman"/>
        </w:rPr>
      </w:pPr>
      <w:r w:rsidRPr="007F192D">
        <w:rPr>
          <w:rStyle w:val="FootnoteReference"/>
          <w:rFonts w:ascii="Times New Roman" w:hAnsi="Times New Roman"/>
        </w:rPr>
        <w:footnoteRef/>
      </w:r>
      <w:r w:rsidRPr="007F192D">
        <w:rPr>
          <w:rFonts w:ascii="Times New Roman" w:hAnsi="Times New Roman"/>
        </w:rPr>
        <w:t xml:space="preserve"> </w:t>
      </w:r>
      <w:r w:rsidR="00F808C0" w:rsidRPr="007F192D">
        <w:rPr>
          <w:rFonts w:ascii="Times New Roman" w:hAnsi="Times New Roman"/>
        </w:rPr>
        <w:t>The Carriage by Air Act, 1972:   Second Schedule harmonizes provisions of the Hague Protocol, 1955 which amended certain provisions of the Warsaw Convention 1929 on liability of an air carrier engaged in international civil aviation.</w:t>
      </w:r>
    </w:p>
    <w:p w:rsidR="0077243C" w:rsidRPr="007F192D" w:rsidRDefault="0077243C">
      <w:pPr>
        <w:pStyle w:val="FootnoteText"/>
        <w:rPr>
          <w:rFonts w:ascii="Times New Roman" w:hAnsi="Times New Roman"/>
        </w:rPr>
      </w:pPr>
    </w:p>
  </w:footnote>
  <w:footnote w:id="5">
    <w:p w:rsidR="009A4082" w:rsidRPr="007F192D" w:rsidRDefault="009A4082">
      <w:pPr>
        <w:pStyle w:val="FootnoteText"/>
        <w:rPr>
          <w:rFonts w:ascii="Times New Roman" w:hAnsi="Times New Roman"/>
        </w:rPr>
      </w:pPr>
      <w:r w:rsidRPr="007F192D">
        <w:rPr>
          <w:rStyle w:val="FootnoteReference"/>
          <w:rFonts w:ascii="Times New Roman" w:hAnsi="Times New Roman"/>
        </w:rPr>
        <w:footnoteRef/>
      </w:r>
      <w:r w:rsidRPr="007F192D">
        <w:rPr>
          <w:rFonts w:ascii="Times New Roman" w:hAnsi="Times New Roman"/>
        </w:rPr>
        <w:t xml:space="preserve"> The Carriage by Air Act, 1972:   Third Schedule harmonizes provisions of the Montreal Convention, 1999 which has replaced the Warsaw System related to liability of an air carrier engaged in international civil aviation.  The International Civil Aviation </w:t>
      </w:r>
      <w:r w:rsidR="003A157D" w:rsidRPr="007F192D">
        <w:rPr>
          <w:rFonts w:ascii="Times New Roman" w:hAnsi="Times New Roman"/>
        </w:rPr>
        <w:t>Organization</w:t>
      </w:r>
      <w:r w:rsidRPr="007F192D">
        <w:rPr>
          <w:rFonts w:ascii="Times New Roman" w:hAnsi="Times New Roman"/>
        </w:rPr>
        <w:t xml:space="preserve"> (‘ICAO’) has reviewed and updated carrier liability to 1</w:t>
      </w:r>
      <w:r w:rsidR="003A157D">
        <w:rPr>
          <w:rFonts w:ascii="Times New Roman" w:hAnsi="Times New Roman"/>
        </w:rPr>
        <w:t xml:space="preserve">13,000 SDR effective 2009. </w:t>
      </w:r>
    </w:p>
  </w:footnote>
  <w:footnote w:id="6">
    <w:p w:rsidR="007F192D" w:rsidRDefault="007F192D" w:rsidP="0008613D">
      <w:pPr>
        <w:pStyle w:val="FootnoteText"/>
        <w:jc w:val="both"/>
        <w:rPr>
          <w:rFonts w:ascii="Times New Roman" w:hAnsi="Times New Roman"/>
          <w:color w:val="000000" w:themeColor="text1"/>
        </w:rPr>
      </w:pPr>
      <w:r w:rsidRPr="0008613D">
        <w:rPr>
          <w:rStyle w:val="FootnoteReference"/>
          <w:rFonts w:ascii="Times New Roman" w:hAnsi="Times New Roman"/>
          <w:color w:val="000000" w:themeColor="text1"/>
        </w:rPr>
        <w:footnoteRef/>
      </w:r>
      <w:r w:rsidRPr="0008613D">
        <w:rPr>
          <w:rFonts w:ascii="Times New Roman" w:hAnsi="Times New Roman"/>
          <w:color w:val="000000" w:themeColor="text1"/>
        </w:rPr>
        <w:t xml:space="preserve"> </w:t>
      </w:r>
      <w:proofErr w:type="spellStart"/>
      <w:r w:rsidRPr="0008613D">
        <w:rPr>
          <w:rFonts w:ascii="Times New Roman" w:hAnsi="Times New Roman"/>
          <w:color w:val="000000" w:themeColor="text1"/>
        </w:rPr>
        <w:t>w.e.f</w:t>
      </w:r>
      <w:proofErr w:type="spellEnd"/>
      <w:r w:rsidRPr="0008613D">
        <w:rPr>
          <w:rFonts w:ascii="Times New Roman" w:hAnsi="Times New Roman"/>
          <w:color w:val="000000" w:themeColor="text1"/>
        </w:rPr>
        <w:t>. June 30, 2009</w:t>
      </w:r>
    </w:p>
    <w:p w:rsidR="00BD2BED" w:rsidRPr="0008613D" w:rsidRDefault="00BD2BED" w:rsidP="0008613D">
      <w:pPr>
        <w:pStyle w:val="FootnoteText"/>
        <w:jc w:val="both"/>
        <w:rPr>
          <w:rFonts w:ascii="Times New Roman" w:hAnsi="Times New Roman"/>
          <w:color w:val="000000" w:themeColor="text1"/>
        </w:rPr>
      </w:pPr>
    </w:p>
  </w:footnote>
  <w:footnote w:id="7">
    <w:p w:rsidR="00F4655A" w:rsidRDefault="00F4655A" w:rsidP="0008613D">
      <w:pPr>
        <w:autoSpaceDE w:val="0"/>
        <w:autoSpaceDN w:val="0"/>
        <w:adjustRightInd w:val="0"/>
        <w:spacing w:after="0" w:line="240" w:lineRule="auto"/>
        <w:jc w:val="both"/>
        <w:rPr>
          <w:rFonts w:ascii="Times New Roman" w:hAnsi="Times New Roman" w:cs="Times New Roman"/>
          <w:color w:val="000000" w:themeColor="text1"/>
          <w:sz w:val="20"/>
          <w:szCs w:val="20"/>
        </w:rPr>
      </w:pPr>
      <w:r w:rsidRPr="0008613D">
        <w:rPr>
          <w:rStyle w:val="FootnoteReference"/>
          <w:rFonts w:ascii="Times New Roman" w:hAnsi="Times New Roman" w:cs="Times New Roman"/>
          <w:color w:val="000000" w:themeColor="text1"/>
          <w:sz w:val="20"/>
          <w:szCs w:val="20"/>
        </w:rPr>
        <w:footnoteRef/>
      </w:r>
      <w:r w:rsidRPr="0008613D">
        <w:rPr>
          <w:rFonts w:ascii="Times New Roman" w:hAnsi="Times New Roman" w:cs="Times New Roman"/>
          <w:color w:val="000000" w:themeColor="text1"/>
          <w:sz w:val="20"/>
          <w:szCs w:val="20"/>
        </w:rPr>
        <w:t xml:space="preserve"> Rule 22(5) of Schedule II of the Act provides that “The sums mentioned in francs in this rule shall be deemed</w:t>
      </w:r>
      <w:r w:rsidR="0008613D">
        <w:rPr>
          <w:rFonts w:ascii="Times New Roman" w:hAnsi="Times New Roman" w:cs="Times New Roman"/>
          <w:color w:val="000000" w:themeColor="text1"/>
          <w:sz w:val="20"/>
          <w:szCs w:val="20"/>
        </w:rPr>
        <w:t xml:space="preserve"> </w:t>
      </w:r>
      <w:r w:rsidRPr="0008613D">
        <w:rPr>
          <w:rFonts w:ascii="Times New Roman" w:hAnsi="Times New Roman" w:cs="Times New Roman"/>
          <w:color w:val="000000" w:themeColor="text1"/>
          <w:sz w:val="20"/>
          <w:szCs w:val="20"/>
        </w:rPr>
        <w:t xml:space="preserve">to refer to a currency unit consisting of sixty-five and a half </w:t>
      </w:r>
      <w:proofErr w:type="spellStart"/>
      <w:r w:rsidRPr="0008613D">
        <w:rPr>
          <w:rFonts w:ascii="Times New Roman" w:hAnsi="Times New Roman" w:cs="Times New Roman"/>
          <w:color w:val="000000" w:themeColor="text1"/>
          <w:sz w:val="20"/>
          <w:szCs w:val="20"/>
        </w:rPr>
        <w:t>milligrammes</w:t>
      </w:r>
      <w:proofErr w:type="spellEnd"/>
      <w:r w:rsidRPr="0008613D">
        <w:rPr>
          <w:rFonts w:ascii="Times New Roman" w:hAnsi="Times New Roman" w:cs="Times New Roman"/>
          <w:color w:val="000000" w:themeColor="text1"/>
          <w:sz w:val="20"/>
          <w:szCs w:val="20"/>
        </w:rPr>
        <w:t xml:space="preserve"> of gold of </w:t>
      </w:r>
      <w:proofErr w:type="spellStart"/>
      <w:r w:rsidRPr="0008613D">
        <w:rPr>
          <w:rFonts w:ascii="Times New Roman" w:hAnsi="Times New Roman" w:cs="Times New Roman"/>
          <w:color w:val="000000" w:themeColor="text1"/>
          <w:sz w:val="20"/>
          <w:szCs w:val="20"/>
        </w:rPr>
        <w:t>millesimal</w:t>
      </w:r>
      <w:proofErr w:type="spellEnd"/>
      <w:r w:rsidRPr="0008613D">
        <w:rPr>
          <w:rFonts w:ascii="Times New Roman" w:hAnsi="Times New Roman" w:cs="Times New Roman"/>
          <w:color w:val="000000" w:themeColor="text1"/>
          <w:sz w:val="20"/>
          <w:szCs w:val="20"/>
        </w:rPr>
        <w:t xml:space="preserve"> fineness nine</w:t>
      </w:r>
      <w:r w:rsidR="0008613D">
        <w:rPr>
          <w:rFonts w:ascii="Times New Roman" w:hAnsi="Times New Roman" w:cs="Times New Roman"/>
          <w:color w:val="000000" w:themeColor="text1"/>
          <w:sz w:val="20"/>
          <w:szCs w:val="20"/>
        </w:rPr>
        <w:t xml:space="preserve"> </w:t>
      </w:r>
      <w:r w:rsidRPr="0008613D">
        <w:rPr>
          <w:rFonts w:ascii="Times New Roman" w:hAnsi="Times New Roman" w:cs="Times New Roman"/>
          <w:color w:val="000000" w:themeColor="text1"/>
          <w:sz w:val="20"/>
          <w:szCs w:val="20"/>
        </w:rPr>
        <w:t>hundred. These sums may be converted into national currencies in round figures. Conversion of the sums into</w:t>
      </w:r>
      <w:r w:rsidR="0008613D">
        <w:rPr>
          <w:rFonts w:ascii="Times New Roman" w:hAnsi="Times New Roman" w:cs="Times New Roman"/>
          <w:color w:val="000000" w:themeColor="text1"/>
          <w:sz w:val="20"/>
          <w:szCs w:val="20"/>
        </w:rPr>
        <w:t xml:space="preserve"> </w:t>
      </w:r>
      <w:r w:rsidRPr="0008613D">
        <w:rPr>
          <w:rFonts w:ascii="Times New Roman" w:hAnsi="Times New Roman" w:cs="Times New Roman"/>
          <w:color w:val="000000" w:themeColor="text1"/>
          <w:sz w:val="20"/>
          <w:szCs w:val="20"/>
        </w:rPr>
        <w:t>national currencies other than gold shall, in case of judicial proceedings, be made according to the gold value of</w:t>
      </w:r>
      <w:r w:rsidR="0008613D">
        <w:rPr>
          <w:rFonts w:ascii="Times New Roman" w:hAnsi="Times New Roman" w:cs="Times New Roman"/>
          <w:color w:val="000000" w:themeColor="text1"/>
          <w:sz w:val="20"/>
          <w:szCs w:val="20"/>
        </w:rPr>
        <w:t xml:space="preserve"> </w:t>
      </w:r>
      <w:r w:rsidRPr="0008613D">
        <w:rPr>
          <w:rFonts w:ascii="Times New Roman" w:hAnsi="Times New Roman" w:cs="Times New Roman"/>
          <w:color w:val="000000" w:themeColor="text1"/>
          <w:sz w:val="20"/>
          <w:szCs w:val="20"/>
        </w:rPr>
        <w:t>such currencies at the date of the judgment”.</w:t>
      </w:r>
    </w:p>
    <w:p w:rsidR="00BD2BED" w:rsidRPr="0008613D" w:rsidRDefault="00BD2BED" w:rsidP="0008613D">
      <w:pPr>
        <w:autoSpaceDE w:val="0"/>
        <w:autoSpaceDN w:val="0"/>
        <w:adjustRightInd w:val="0"/>
        <w:spacing w:after="0" w:line="240" w:lineRule="auto"/>
        <w:jc w:val="both"/>
        <w:rPr>
          <w:rFonts w:ascii="Times New Roman" w:hAnsi="Times New Roman" w:cs="Times New Roman"/>
          <w:color w:val="000000" w:themeColor="text1"/>
          <w:sz w:val="20"/>
          <w:szCs w:val="20"/>
        </w:rPr>
      </w:pPr>
    </w:p>
  </w:footnote>
  <w:footnote w:id="8">
    <w:p w:rsidR="00354D62" w:rsidRDefault="00354D62" w:rsidP="0008613D">
      <w:pPr>
        <w:pStyle w:val="FootnoteText"/>
        <w:jc w:val="both"/>
        <w:rPr>
          <w:rFonts w:ascii="Times New Roman" w:hAnsi="Times New Roman"/>
          <w:color w:val="000000" w:themeColor="text1"/>
        </w:rPr>
      </w:pPr>
      <w:r w:rsidRPr="0008613D">
        <w:rPr>
          <w:rStyle w:val="FootnoteReference"/>
          <w:rFonts w:ascii="Times New Roman" w:hAnsi="Times New Roman"/>
          <w:color w:val="000000" w:themeColor="text1"/>
        </w:rPr>
        <w:footnoteRef/>
      </w:r>
      <w:r w:rsidRPr="0008613D">
        <w:rPr>
          <w:rFonts w:ascii="Times New Roman" w:hAnsi="Times New Roman"/>
          <w:color w:val="000000" w:themeColor="text1"/>
        </w:rPr>
        <w:t xml:space="preserve"> $1 = Rs. 45</w:t>
      </w:r>
    </w:p>
    <w:p w:rsidR="00BD2BED" w:rsidRPr="0008613D" w:rsidRDefault="00BD2BED" w:rsidP="0008613D">
      <w:pPr>
        <w:pStyle w:val="FootnoteText"/>
        <w:jc w:val="both"/>
        <w:rPr>
          <w:rFonts w:ascii="Times New Roman" w:hAnsi="Times New Roman"/>
          <w:color w:val="000000" w:themeColor="text1"/>
        </w:rPr>
      </w:pPr>
    </w:p>
  </w:footnote>
  <w:footnote w:id="9">
    <w:p w:rsidR="00354D62" w:rsidRPr="0008613D" w:rsidRDefault="00354D62" w:rsidP="0008613D">
      <w:pPr>
        <w:pStyle w:val="FootnoteText"/>
        <w:jc w:val="both"/>
        <w:rPr>
          <w:rFonts w:ascii="Times New Roman" w:hAnsi="Times New Roman"/>
          <w:color w:val="000000" w:themeColor="text1"/>
        </w:rPr>
      </w:pPr>
      <w:r w:rsidRPr="0008613D">
        <w:rPr>
          <w:rStyle w:val="FootnoteReference"/>
          <w:rFonts w:ascii="Times New Roman" w:hAnsi="Times New Roman"/>
          <w:color w:val="000000" w:themeColor="text1"/>
        </w:rPr>
        <w:footnoteRef/>
      </w:r>
      <w:r w:rsidRPr="0008613D">
        <w:rPr>
          <w:rFonts w:ascii="Times New Roman" w:hAnsi="Times New Roman"/>
          <w:color w:val="000000" w:themeColor="text1"/>
        </w:rPr>
        <w:t xml:space="preserve"> </w:t>
      </w:r>
      <w:proofErr w:type="gramStart"/>
      <w:r w:rsidRPr="0008613D">
        <w:rPr>
          <w:rFonts w:ascii="Times New Roman" w:hAnsi="Times New Roman"/>
          <w:color w:val="000000" w:themeColor="text1"/>
        </w:rPr>
        <w:t xml:space="preserve">Airport Authority of India v. </w:t>
      </w:r>
      <w:proofErr w:type="spellStart"/>
      <w:r w:rsidRPr="0008613D">
        <w:rPr>
          <w:rFonts w:ascii="Times New Roman" w:hAnsi="Times New Roman"/>
          <w:color w:val="000000" w:themeColor="text1"/>
        </w:rPr>
        <w:t>Ushaben</w:t>
      </w:r>
      <w:proofErr w:type="spellEnd"/>
      <w:r w:rsidRPr="0008613D">
        <w:rPr>
          <w:rFonts w:ascii="Times New Roman" w:hAnsi="Times New Roman"/>
          <w:color w:val="000000" w:themeColor="text1"/>
        </w:rPr>
        <w:t xml:space="preserve"> </w:t>
      </w:r>
      <w:proofErr w:type="spellStart"/>
      <w:r w:rsidRPr="0008613D">
        <w:rPr>
          <w:rFonts w:ascii="Times New Roman" w:hAnsi="Times New Roman"/>
          <w:color w:val="000000" w:themeColor="text1"/>
        </w:rPr>
        <w:t>Shirishbhai</w:t>
      </w:r>
      <w:proofErr w:type="spellEnd"/>
      <w:r w:rsidRPr="0008613D">
        <w:rPr>
          <w:rFonts w:ascii="Times New Roman" w:hAnsi="Times New Roman"/>
          <w:color w:val="000000" w:themeColor="text1"/>
        </w:rPr>
        <w:t xml:space="preserve"> Shah &amp; 6 Ors.</w:t>
      </w:r>
      <w:proofErr w:type="gramEnd"/>
      <w:r w:rsidRPr="0008613D">
        <w:rPr>
          <w:rFonts w:ascii="Times New Roman" w:hAnsi="Times New Roman"/>
          <w:color w:val="000000" w:themeColor="text1"/>
        </w:rPr>
        <w:t xml:space="preserve"> (2010) 1GLR 321</w:t>
      </w:r>
    </w:p>
  </w:footnote>
  <w:footnote w:id="10">
    <w:p w:rsidR="00451946" w:rsidRPr="009F68BA" w:rsidRDefault="00451946" w:rsidP="009F68BA">
      <w:pPr>
        <w:pStyle w:val="FootnoteText"/>
        <w:jc w:val="both"/>
        <w:rPr>
          <w:rFonts w:ascii="Times New Roman" w:hAnsi="Times New Roman"/>
          <w:color w:val="000000" w:themeColor="text1"/>
        </w:rPr>
      </w:pPr>
      <w:r>
        <w:rPr>
          <w:rStyle w:val="FootnoteReference"/>
        </w:rPr>
        <w:footnoteRef/>
      </w:r>
      <w:r>
        <w:t xml:space="preserve"> </w:t>
      </w:r>
      <w:r w:rsidRPr="009F68BA">
        <w:rPr>
          <w:rFonts w:ascii="Times New Roman" w:hAnsi="Times New Roman"/>
          <w:color w:val="000000" w:themeColor="text1"/>
        </w:rPr>
        <w:t>Special Drawing Rights as defined by IMF and 1 SDR = $1.5</w:t>
      </w:r>
    </w:p>
  </w:footnote>
  <w:footnote w:id="11">
    <w:p w:rsidR="00EF4D7F" w:rsidRDefault="00EF4D7F" w:rsidP="00E04C38">
      <w:pPr>
        <w:autoSpaceDE w:val="0"/>
        <w:autoSpaceDN w:val="0"/>
        <w:adjustRightInd w:val="0"/>
        <w:spacing w:after="0" w:line="240" w:lineRule="auto"/>
        <w:jc w:val="both"/>
        <w:rPr>
          <w:rFonts w:ascii="Times New Roman" w:hAnsi="Times New Roman" w:cs="Times New Roman"/>
          <w:color w:val="000000" w:themeColor="text1"/>
          <w:sz w:val="20"/>
          <w:szCs w:val="20"/>
        </w:rPr>
      </w:pPr>
      <w:r w:rsidRPr="00E04C38">
        <w:rPr>
          <w:rStyle w:val="FootnoteReference"/>
          <w:rFonts w:ascii="Times New Roman" w:hAnsi="Times New Roman" w:cs="Times New Roman"/>
          <w:color w:val="000000" w:themeColor="text1"/>
          <w:sz w:val="20"/>
          <w:szCs w:val="20"/>
        </w:rPr>
        <w:footnoteRef/>
      </w:r>
      <w:r w:rsidRPr="00E04C38">
        <w:rPr>
          <w:rFonts w:ascii="Times New Roman" w:hAnsi="Times New Roman" w:cs="Times New Roman"/>
          <w:color w:val="000000" w:themeColor="text1"/>
          <w:sz w:val="20"/>
          <w:szCs w:val="20"/>
        </w:rPr>
        <w:t xml:space="preserve"> Statement by Mr. </w:t>
      </w:r>
      <w:proofErr w:type="spellStart"/>
      <w:r w:rsidRPr="00E04C38">
        <w:rPr>
          <w:rFonts w:ascii="Times New Roman" w:hAnsi="Times New Roman" w:cs="Times New Roman"/>
          <w:color w:val="000000" w:themeColor="text1"/>
          <w:sz w:val="20"/>
          <w:szCs w:val="20"/>
        </w:rPr>
        <w:t>Praful</w:t>
      </w:r>
      <w:proofErr w:type="spellEnd"/>
      <w:r w:rsidRPr="00E04C38">
        <w:rPr>
          <w:rFonts w:ascii="Times New Roman" w:hAnsi="Times New Roman" w:cs="Times New Roman"/>
          <w:color w:val="000000" w:themeColor="text1"/>
          <w:sz w:val="20"/>
          <w:szCs w:val="20"/>
        </w:rPr>
        <w:t xml:space="preserve"> Patel, Minister of State for Civil Aviation in the Upper House of the Parliament</w:t>
      </w:r>
      <w:r w:rsidR="00E04C38">
        <w:rPr>
          <w:rFonts w:ascii="Times New Roman" w:hAnsi="Times New Roman" w:cs="Times New Roman"/>
          <w:color w:val="000000" w:themeColor="text1"/>
          <w:sz w:val="20"/>
          <w:szCs w:val="20"/>
        </w:rPr>
        <w:t xml:space="preserve"> </w:t>
      </w:r>
      <w:r w:rsidRPr="00E04C38">
        <w:rPr>
          <w:rFonts w:ascii="Times New Roman" w:hAnsi="Times New Roman" w:cs="Times New Roman"/>
          <w:color w:val="000000" w:themeColor="text1"/>
          <w:sz w:val="20"/>
          <w:szCs w:val="20"/>
        </w:rPr>
        <w:t>(</w:t>
      </w:r>
      <w:proofErr w:type="spellStart"/>
      <w:r w:rsidRPr="00E04C38">
        <w:rPr>
          <w:rFonts w:ascii="Times New Roman" w:hAnsi="Times New Roman" w:cs="Times New Roman"/>
          <w:color w:val="000000" w:themeColor="text1"/>
          <w:sz w:val="20"/>
          <w:szCs w:val="20"/>
        </w:rPr>
        <w:t>Rajya</w:t>
      </w:r>
      <w:proofErr w:type="spellEnd"/>
      <w:r w:rsidRPr="00E04C38">
        <w:rPr>
          <w:rFonts w:ascii="Times New Roman" w:hAnsi="Times New Roman" w:cs="Times New Roman"/>
          <w:color w:val="000000" w:themeColor="text1"/>
          <w:sz w:val="20"/>
          <w:szCs w:val="20"/>
        </w:rPr>
        <w:t xml:space="preserve"> </w:t>
      </w:r>
      <w:proofErr w:type="spellStart"/>
      <w:r w:rsidRPr="00E04C38">
        <w:rPr>
          <w:rFonts w:ascii="Times New Roman" w:hAnsi="Times New Roman" w:cs="Times New Roman"/>
          <w:color w:val="000000" w:themeColor="text1"/>
          <w:sz w:val="20"/>
          <w:szCs w:val="20"/>
        </w:rPr>
        <w:t>Sabha</w:t>
      </w:r>
      <w:proofErr w:type="spellEnd"/>
      <w:r w:rsidRPr="00E04C38">
        <w:rPr>
          <w:rFonts w:ascii="Times New Roman" w:hAnsi="Times New Roman" w:cs="Times New Roman"/>
          <w:color w:val="000000" w:themeColor="text1"/>
          <w:sz w:val="20"/>
          <w:szCs w:val="20"/>
        </w:rPr>
        <w:t>) as released by Press Information Bureau on August 3, 2010</w:t>
      </w:r>
      <w:r w:rsidR="00E04C38">
        <w:rPr>
          <w:rFonts w:ascii="Times New Roman" w:hAnsi="Times New Roman" w:cs="Times New Roman"/>
          <w:color w:val="000000" w:themeColor="text1"/>
          <w:sz w:val="20"/>
          <w:szCs w:val="20"/>
        </w:rPr>
        <w:t xml:space="preserve"> </w:t>
      </w:r>
      <w:hyperlink r:id="rId1" w:history="1">
        <w:r w:rsidR="00E04C38" w:rsidRPr="00C97AB8">
          <w:rPr>
            <w:rStyle w:val="Hyperlink"/>
            <w:rFonts w:ascii="Times New Roman" w:hAnsi="Times New Roman" w:cs="Times New Roman"/>
            <w:sz w:val="20"/>
            <w:szCs w:val="20"/>
          </w:rPr>
          <w:t>http://pib.nic.in/release/release.asp?relid=64012</w:t>
        </w:r>
      </w:hyperlink>
    </w:p>
    <w:p w:rsidR="00E04C38" w:rsidRPr="00E04C38" w:rsidRDefault="00E04C38" w:rsidP="00E04C38">
      <w:pPr>
        <w:autoSpaceDE w:val="0"/>
        <w:autoSpaceDN w:val="0"/>
        <w:adjustRightInd w:val="0"/>
        <w:spacing w:after="0" w:line="240" w:lineRule="auto"/>
        <w:jc w:val="both"/>
        <w:rPr>
          <w:rFonts w:ascii="Times New Roman" w:hAnsi="Times New Roman" w:cs="Times New Roman"/>
          <w:color w:val="000000" w:themeColor="text1"/>
          <w:sz w:val="20"/>
          <w:szCs w:val="20"/>
        </w:rPr>
      </w:pPr>
    </w:p>
  </w:footnote>
  <w:footnote w:id="12">
    <w:p w:rsidR="00E04C38" w:rsidRPr="00CC145D" w:rsidRDefault="00E04C38" w:rsidP="00E04C38">
      <w:pPr>
        <w:autoSpaceDE w:val="0"/>
        <w:autoSpaceDN w:val="0"/>
        <w:adjustRightInd w:val="0"/>
        <w:spacing w:after="0" w:line="240" w:lineRule="auto"/>
        <w:jc w:val="both"/>
        <w:rPr>
          <w:rFonts w:ascii="Times New Roman" w:hAnsi="Times New Roman" w:cs="Times New Roman"/>
          <w:color w:val="000000" w:themeColor="text1"/>
          <w:sz w:val="20"/>
          <w:szCs w:val="20"/>
        </w:rPr>
      </w:pPr>
      <w:r w:rsidRPr="00E04C38">
        <w:rPr>
          <w:rStyle w:val="FootnoteReference"/>
          <w:rFonts w:ascii="Times New Roman" w:hAnsi="Times New Roman" w:cs="Times New Roman"/>
          <w:color w:val="000000" w:themeColor="text1"/>
          <w:sz w:val="20"/>
          <w:szCs w:val="20"/>
        </w:rPr>
        <w:footnoteRef/>
      </w:r>
      <w:r w:rsidRPr="00E04C38">
        <w:rPr>
          <w:rFonts w:ascii="Times New Roman" w:hAnsi="Times New Roman" w:cs="Times New Roman"/>
          <w:color w:val="000000" w:themeColor="text1"/>
          <w:sz w:val="20"/>
          <w:szCs w:val="20"/>
        </w:rPr>
        <w:t xml:space="preserve"> </w:t>
      </w:r>
      <w:proofErr w:type="spellStart"/>
      <w:r w:rsidRPr="00E04C38">
        <w:rPr>
          <w:rFonts w:ascii="Times New Roman" w:hAnsi="Times New Roman" w:cs="Times New Roman"/>
          <w:color w:val="000000" w:themeColor="text1"/>
          <w:sz w:val="20"/>
          <w:szCs w:val="20"/>
        </w:rPr>
        <w:t>Smitha</w:t>
      </w:r>
      <w:proofErr w:type="spellEnd"/>
      <w:r w:rsidRPr="00E04C38">
        <w:rPr>
          <w:rFonts w:ascii="Times New Roman" w:hAnsi="Times New Roman" w:cs="Times New Roman"/>
          <w:color w:val="000000" w:themeColor="text1"/>
          <w:sz w:val="20"/>
          <w:szCs w:val="20"/>
        </w:rPr>
        <w:t xml:space="preserve"> Nair, Mangalore crash: Victims’ income to decide payout (September 17, 2010),</w:t>
      </w:r>
      <w:r w:rsidR="00CC145D">
        <w:rPr>
          <w:rFonts w:ascii="Times New Roman" w:hAnsi="Times New Roman" w:cs="Times New Roman"/>
          <w:color w:val="000000" w:themeColor="text1"/>
          <w:sz w:val="20"/>
          <w:szCs w:val="20"/>
        </w:rPr>
        <w:t xml:space="preserve"> </w:t>
      </w:r>
      <w:r w:rsidRPr="00E04C38">
        <w:rPr>
          <w:rFonts w:ascii="Times New Roman" w:hAnsi="Times New Roman" w:cs="Times New Roman"/>
          <w:color w:val="000000" w:themeColor="text1"/>
          <w:sz w:val="20"/>
          <w:szCs w:val="20"/>
        </w:rPr>
        <w:t>http://ibnlive.in.com/news/mangalore-crash-victims-income-to-decide-payout/131202-3.html, and retrieved</w:t>
      </w:r>
      <w:r>
        <w:rPr>
          <w:rFonts w:ascii="Times New Roman" w:hAnsi="Times New Roman" w:cs="Times New Roman"/>
          <w:color w:val="000000" w:themeColor="text1"/>
          <w:sz w:val="20"/>
          <w:szCs w:val="20"/>
        </w:rPr>
        <w:t xml:space="preserve"> </w:t>
      </w:r>
      <w:r w:rsidRPr="00E04C38">
        <w:rPr>
          <w:rFonts w:ascii="Times New Roman" w:hAnsi="Times New Roman" w:cs="Times New Roman"/>
          <w:color w:val="000000" w:themeColor="text1"/>
          <w:sz w:val="20"/>
          <w:szCs w:val="20"/>
        </w:rPr>
        <w:t>on September 23, 2010</w:t>
      </w:r>
      <w:r w:rsidR="009E4A6D">
        <w:rPr>
          <w:rFonts w:ascii="Times New Roman" w:hAnsi="Times New Roman" w:cs="Times New Roman"/>
          <w:color w:val="000000" w:themeColor="text1"/>
          <w:sz w:val="20"/>
          <w:szCs w:val="20"/>
        </w:rPr>
        <w:t>.</w:t>
      </w:r>
    </w:p>
  </w:footnote>
  <w:footnote w:id="13">
    <w:p w:rsidR="008762E7" w:rsidRPr="008762E7" w:rsidRDefault="008762E7" w:rsidP="008762E7">
      <w:pPr>
        <w:shd w:val="clear" w:color="auto" w:fill="FFFFFF"/>
        <w:spacing w:before="100" w:beforeAutospacing="1" w:after="100" w:afterAutospacing="1" w:line="240" w:lineRule="auto"/>
        <w:jc w:val="both"/>
        <w:outlineLvl w:val="0"/>
        <w:rPr>
          <w:rFonts w:ascii="Times New Roman" w:eastAsia="Times New Roman" w:hAnsi="Times New Roman" w:cs="Times New Roman"/>
          <w:b/>
          <w:bCs/>
          <w:i/>
          <w:color w:val="000000"/>
          <w:kern w:val="36"/>
          <w:sz w:val="20"/>
          <w:szCs w:val="20"/>
        </w:rPr>
      </w:pPr>
      <w:r w:rsidRPr="008762E7">
        <w:rPr>
          <w:rStyle w:val="FootnoteReference"/>
          <w:rFonts w:ascii="Times New Roman" w:hAnsi="Times New Roman" w:cs="Times New Roman"/>
          <w:sz w:val="20"/>
          <w:szCs w:val="20"/>
        </w:rPr>
        <w:footnoteRef/>
      </w:r>
      <w:r w:rsidRPr="008762E7">
        <w:rPr>
          <w:rFonts w:ascii="Times New Roman" w:hAnsi="Times New Roman" w:cs="Times New Roman"/>
          <w:sz w:val="20"/>
          <w:szCs w:val="20"/>
        </w:rPr>
        <w:t xml:space="preserve"> </w:t>
      </w:r>
      <w:r w:rsidRPr="008762E7">
        <w:rPr>
          <w:rFonts w:ascii="Times New Roman" w:eastAsia="Times New Roman" w:hAnsi="Times New Roman" w:cs="Times New Roman"/>
          <w:color w:val="000000"/>
          <w:sz w:val="20"/>
          <w:szCs w:val="20"/>
        </w:rPr>
        <w:t xml:space="preserve">Richard T. Miller, Specialist in Aviation Law, </w:t>
      </w:r>
      <w:r w:rsidRPr="008762E7">
        <w:rPr>
          <w:rFonts w:ascii="Times New Roman" w:eastAsia="Times New Roman" w:hAnsi="Times New Roman" w:cs="Times New Roman"/>
          <w:i/>
          <w:color w:val="000000"/>
          <w:sz w:val="20"/>
          <w:szCs w:val="20"/>
        </w:rPr>
        <w:t>“</w:t>
      </w:r>
      <w:r w:rsidRPr="008762E7">
        <w:rPr>
          <w:rFonts w:ascii="Times New Roman" w:eastAsia="Times New Roman" w:hAnsi="Times New Roman" w:cs="Times New Roman"/>
          <w:bCs/>
          <w:i/>
          <w:color w:val="000000"/>
          <w:kern w:val="36"/>
          <w:sz w:val="20"/>
          <w:szCs w:val="20"/>
        </w:rPr>
        <w:t>Pilot Warranty and Aviation Liability Sometimes Cause Doesn't Matter”</w:t>
      </w:r>
    </w:p>
    <w:p w:rsidR="008762E7" w:rsidRPr="00433E38" w:rsidRDefault="008762E7" w:rsidP="008762E7">
      <w:pPr>
        <w:shd w:val="clear" w:color="auto" w:fill="FFFFFF"/>
        <w:spacing w:before="100" w:beforeAutospacing="1" w:after="100" w:afterAutospacing="1" w:line="240" w:lineRule="auto"/>
        <w:rPr>
          <w:rFonts w:ascii="Arial" w:eastAsia="Times New Roman" w:hAnsi="Arial" w:cs="Arial"/>
          <w:color w:val="000000"/>
          <w:sz w:val="18"/>
          <w:szCs w:val="18"/>
        </w:rPr>
      </w:pPr>
    </w:p>
    <w:p w:rsidR="008762E7" w:rsidRDefault="008762E7">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E32FF"/>
    <w:rsid w:val="00003EB9"/>
    <w:rsid w:val="00025590"/>
    <w:rsid w:val="000425F8"/>
    <w:rsid w:val="00042627"/>
    <w:rsid w:val="00043FB5"/>
    <w:rsid w:val="00046D69"/>
    <w:rsid w:val="00053948"/>
    <w:rsid w:val="00073AC2"/>
    <w:rsid w:val="0008613D"/>
    <w:rsid w:val="000B01C5"/>
    <w:rsid w:val="000C6C5F"/>
    <w:rsid w:val="000D3CED"/>
    <w:rsid w:val="000D7E09"/>
    <w:rsid w:val="000E4310"/>
    <w:rsid w:val="0011503F"/>
    <w:rsid w:val="001307DA"/>
    <w:rsid w:val="001401AD"/>
    <w:rsid w:val="0015784C"/>
    <w:rsid w:val="00171091"/>
    <w:rsid w:val="001747F4"/>
    <w:rsid w:val="00183335"/>
    <w:rsid w:val="001A43BF"/>
    <w:rsid w:val="001C5BF6"/>
    <w:rsid w:val="001D7B0B"/>
    <w:rsid w:val="001E158E"/>
    <w:rsid w:val="00206F74"/>
    <w:rsid w:val="00207A88"/>
    <w:rsid w:val="00212BD9"/>
    <w:rsid w:val="0022497D"/>
    <w:rsid w:val="00233255"/>
    <w:rsid w:val="0023555F"/>
    <w:rsid w:val="002414C3"/>
    <w:rsid w:val="00246230"/>
    <w:rsid w:val="002673D9"/>
    <w:rsid w:val="002965A2"/>
    <w:rsid w:val="002C0C4F"/>
    <w:rsid w:val="002D53A5"/>
    <w:rsid w:val="002F515D"/>
    <w:rsid w:val="002F6B9A"/>
    <w:rsid w:val="002F764D"/>
    <w:rsid w:val="00305B8B"/>
    <w:rsid w:val="0034184F"/>
    <w:rsid w:val="00343A0D"/>
    <w:rsid w:val="00354D62"/>
    <w:rsid w:val="003602C8"/>
    <w:rsid w:val="00375E06"/>
    <w:rsid w:val="00384953"/>
    <w:rsid w:val="00384B0E"/>
    <w:rsid w:val="003A053A"/>
    <w:rsid w:val="003A157D"/>
    <w:rsid w:val="003C7DD0"/>
    <w:rsid w:val="003F0B9E"/>
    <w:rsid w:val="004435F0"/>
    <w:rsid w:val="0044733A"/>
    <w:rsid w:val="00451946"/>
    <w:rsid w:val="0046027E"/>
    <w:rsid w:val="004959BB"/>
    <w:rsid w:val="004C54EE"/>
    <w:rsid w:val="004E0B80"/>
    <w:rsid w:val="004F7F96"/>
    <w:rsid w:val="00520B68"/>
    <w:rsid w:val="00535F12"/>
    <w:rsid w:val="005407FB"/>
    <w:rsid w:val="005544F4"/>
    <w:rsid w:val="00555E5A"/>
    <w:rsid w:val="00563212"/>
    <w:rsid w:val="00563461"/>
    <w:rsid w:val="005A0F35"/>
    <w:rsid w:val="005C3E09"/>
    <w:rsid w:val="005D2C77"/>
    <w:rsid w:val="005D4DF5"/>
    <w:rsid w:val="005E5D5E"/>
    <w:rsid w:val="00601933"/>
    <w:rsid w:val="006024DF"/>
    <w:rsid w:val="00614612"/>
    <w:rsid w:val="00653716"/>
    <w:rsid w:val="0067559B"/>
    <w:rsid w:val="00675BDB"/>
    <w:rsid w:val="0068629C"/>
    <w:rsid w:val="00696666"/>
    <w:rsid w:val="006A3C13"/>
    <w:rsid w:val="006C4CFF"/>
    <w:rsid w:val="006D1C6A"/>
    <w:rsid w:val="006D2F65"/>
    <w:rsid w:val="006D73FE"/>
    <w:rsid w:val="006F5F56"/>
    <w:rsid w:val="00705710"/>
    <w:rsid w:val="007122C7"/>
    <w:rsid w:val="0073206B"/>
    <w:rsid w:val="0077243C"/>
    <w:rsid w:val="00774481"/>
    <w:rsid w:val="007C2CDB"/>
    <w:rsid w:val="007C58E6"/>
    <w:rsid w:val="007D5C15"/>
    <w:rsid w:val="007E32FF"/>
    <w:rsid w:val="007E7857"/>
    <w:rsid w:val="007F192D"/>
    <w:rsid w:val="00817C5B"/>
    <w:rsid w:val="00821C7A"/>
    <w:rsid w:val="00837D5E"/>
    <w:rsid w:val="00862EBE"/>
    <w:rsid w:val="008762E7"/>
    <w:rsid w:val="00885FC4"/>
    <w:rsid w:val="008A0A65"/>
    <w:rsid w:val="008C5C6E"/>
    <w:rsid w:val="008C6EDA"/>
    <w:rsid w:val="008F6DF1"/>
    <w:rsid w:val="009219EF"/>
    <w:rsid w:val="00921F3F"/>
    <w:rsid w:val="009411A8"/>
    <w:rsid w:val="00946F92"/>
    <w:rsid w:val="00952C7A"/>
    <w:rsid w:val="00962EBF"/>
    <w:rsid w:val="00972C84"/>
    <w:rsid w:val="00990E69"/>
    <w:rsid w:val="0099508D"/>
    <w:rsid w:val="009A402C"/>
    <w:rsid w:val="009A4082"/>
    <w:rsid w:val="009C6349"/>
    <w:rsid w:val="009E4A6D"/>
    <w:rsid w:val="009F68BA"/>
    <w:rsid w:val="00A10321"/>
    <w:rsid w:val="00A11E57"/>
    <w:rsid w:val="00A14632"/>
    <w:rsid w:val="00A21DA2"/>
    <w:rsid w:val="00A3644E"/>
    <w:rsid w:val="00A5273A"/>
    <w:rsid w:val="00A600B8"/>
    <w:rsid w:val="00A637D1"/>
    <w:rsid w:val="00A972F1"/>
    <w:rsid w:val="00AA0820"/>
    <w:rsid w:val="00AC403C"/>
    <w:rsid w:val="00AC4434"/>
    <w:rsid w:val="00AC485B"/>
    <w:rsid w:val="00B01E84"/>
    <w:rsid w:val="00B04AE9"/>
    <w:rsid w:val="00B060C4"/>
    <w:rsid w:val="00B1672B"/>
    <w:rsid w:val="00B37D2C"/>
    <w:rsid w:val="00B71C04"/>
    <w:rsid w:val="00B85A0C"/>
    <w:rsid w:val="00BB6A68"/>
    <w:rsid w:val="00BB7404"/>
    <w:rsid w:val="00BC5DB8"/>
    <w:rsid w:val="00BD2BED"/>
    <w:rsid w:val="00BE74EB"/>
    <w:rsid w:val="00C03CE5"/>
    <w:rsid w:val="00C05BDD"/>
    <w:rsid w:val="00C17033"/>
    <w:rsid w:val="00C25DC8"/>
    <w:rsid w:val="00C44201"/>
    <w:rsid w:val="00C77696"/>
    <w:rsid w:val="00C878BC"/>
    <w:rsid w:val="00C90421"/>
    <w:rsid w:val="00CB724C"/>
    <w:rsid w:val="00CC145D"/>
    <w:rsid w:val="00CD0321"/>
    <w:rsid w:val="00CD4C4E"/>
    <w:rsid w:val="00CE30EF"/>
    <w:rsid w:val="00D07E8B"/>
    <w:rsid w:val="00D211B8"/>
    <w:rsid w:val="00D3093E"/>
    <w:rsid w:val="00D30D6B"/>
    <w:rsid w:val="00D32022"/>
    <w:rsid w:val="00D735B4"/>
    <w:rsid w:val="00D93344"/>
    <w:rsid w:val="00DA2E17"/>
    <w:rsid w:val="00DB0336"/>
    <w:rsid w:val="00DB5016"/>
    <w:rsid w:val="00DB6610"/>
    <w:rsid w:val="00DC5F5A"/>
    <w:rsid w:val="00DD14BD"/>
    <w:rsid w:val="00DE4EB2"/>
    <w:rsid w:val="00E047A5"/>
    <w:rsid w:val="00E04C38"/>
    <w:rsid w:val="00E2145E"/>
    <w:rsid w:val="00E21FD7"/>
    <w:rsid w:val="00E3058A"/>
    <w:rsid w:val="00E319E9"/>
    <w:rsid w:val="00E46984"/>
    <w:rsid w:val="00E520D3"/>
    <w:rsid w:val="00E81063"/>
    <w:rsid w:val="00E96675"/>
    <w:rsid w:val="00E96BE1"/>
    <w:rsid w:val="00E973C8"/>
    <w:rsid w:val="00EA6445"/>
    <w:rsid w:val="00EE7958"/>
    <w:rsid w:val="00EE7EB5"/>
    <w:rsid w:val="00EF1E6F"/>
    <w:rsid w:val="00EF4D7F"/>
    <w:rsid w:val="00F0707C"/>
    <w:rsid w:val="00F12738"/>
    <w:rsid w:val="00F30871"/>
    <w:rsid w:val="00F34E69"/>
    <w:rsid w:val="00F4655A"/>
    <w:rsid w:val="00F5208B"/>
    <w:rsid w:val="00F616FF"/>
    <w:rsid w:val="00F6644D"/>
    <w:rsid w:val="00F73CA0"/>
    <w:rsid w:val="00F808C0"/>
    <w:rsid w:val="00F830D1"/>
    <w:rsid w:val="00F83602"/>
    <w:rsid w:val="00F96F7C"/>
    <w:rsid w:val="00FA24D5"/>
    <w:rsid w:val="00FA3763"/>
    <w:rsid w:val="00FA7CE9"/>
    <w:rsid w:val="00FB635C"/>
    <w:rsid w:val="00FC0749"/>
    <w:rsid w:val="00FC7626"/>
    <w:rsid w:val="00FD48FF"/>
    <w:rsid w:val="00FD6F94"/>
    <w:rsid w:val="00FE62D1"/>
    <w:rsid w:val="00FE7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2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32FF"/>
    <w:rPr>
      <w:color w:val="0000FF" w:themeColor="hyperlink"/>
      <w:u w:val="single"/>
    </w:rPr>
  </w:style>
  <w:style w:type="paragraph" w:styleId="ListParagraph">
    <w:name w:val="List Paragraph"/>
    <w:basedOn w:val="Normal"/>
    <w:uiPriority w:val="34"/>
    <w:qFormat/>
    <w:rsid w:val="007E32FF"/>
    <w:pPr>
      <w:ind w:left="720"/>
      <w:contextualSpacing/>
    </w:pPr>
  </w:style>
  <w:style w:type="paragraph" w:styleId="FootnoteText">
    <w:name w:val="footnote text"/>
    <w:basedOn w:val="Normal"/>
    <w:link w:val="FootnoteTextChar"/>
    <w:uiPriority w:val="99"/>
    <w:unhideWhenUsed/>
    <w:rsid w:val="00B060C4"/>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B060C4"/>
    <w:rPr>
      <w:rFonts w:ascii="Calibri" w:eastAsia="Calibri" w:hAnsi="Calibri" w:cs="Times New Roman"/>
      <w:sz w:val="20"/>
      <w:szCs w:val="20"/>
    </w:rPr>
  </w:style>
  <w:style w:type="character" w:styleId="FootnoteReference">
    <w:name w:val="footnote reference"/>
    <w:uiPriority w:val="99"/>
    <w:semiHidden/>
    <w:unhideWhenUsed/>
    <w:rsid w:val="00B060C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rklaw19@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0BBL079@nirmauni.ac.i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ib.nic.in/release/release.asp?relid=64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8</Pages>
  <Words>1804</Words>
  <Characters>10284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72</cp:revision>
  <dcterms:created xsi:type="dcterms:W3CDTF">2012-04-07T07:44:00Z</dcterms:created>
  <dcterms:modified xsi:type="dcterms:W3CDTF">2012-04-09T18:05:00Z</dcterms:modified>
</cp:coreProperties>
</file>