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869" w:rsidRPr="00706869" w:rsidRDefault="00706869" w:rsidP="00706869">
      <w:pPr>
        <w:pStyle w:val="NoSpacing"/>
        <w:spacing w:line="480" w:lineRule="auto"/>
        <w:ind w:firstLine="720"/>
        <w:rPr>
          <w:rFonts w:ascii="Times New Roman" w:hAnsi="Times New Roman" w:cs="Times New Roman"/>
        </w:rPr>
      </w:pPr>
    </w:p>
    <w:p w:rsidR="00706869" w:rsidRPr="00706869" w:rsidRDefault="00706869" w:rsidP="00706869">
      <w:pPr>
        <w:pStyle w:val="NoSpacing"/>
        <w:spacing w:line="480" w:lineRule="auto"/>
        <w:ind w:firstLine="720"/>
        <w:rPr>
          <w:rFonts w:ascii="Times New Roman" w:hAnsi="Times New Roman" w:cs="Times New Roman"/>
        </w:rPr>
      </w:pPr>
    </w:p>
    <w:p w:rsidR="00706869" w:rsidRPr="00706869" w:rsidRDefault="00706869" w:rsidP="00706869">
      <w:pPr>
        <w:pStyle w:val="NoSpacing"/>
        <w:ind w:firstLine="720"/>
        <w:jc w:val="center"/>
        <w:rPr>
          <w:rFonts w:ascii="Times New Roman" w:hAnsi="Times New Roman" w:cs="Times New Roman"/>
        </w:rPr>
      </w:pPr>
    </w:p>
    <w:p w:rsidR="00706869" w:rsidRPr="00706869" w:rsidRDefault="00706869" w:rsidP="00706869">
      <w:pPr>
        <w:pStyle w:val="NoSpacing"/>
        <w:ind w:firstLine="720"/>
        <w:jc w:val="center"/>
        <w:rPr>
          <w:rFonts w:ascii="Times New Roman" w:hAnsi="Times New Roman" w:cs="Times New Roman"/>
        </w:rPr>
      </w:pPr>
    </w:p>
    <w:p w:rsidR="00706869" w:rsidRPr="00706869" w:rsidRDefault="00706869" w:rsidP="00706869">
      <w:pPr>
        <w:pStyle w:val="NoSpacing"/>
        <w:ind w:firstLine="720"/>
        <w:jc w:val="center"/>
        <w:rPr>
          <w:rFonts w:ascii="Times New Roman" w:hAnsi="Times New Roman" w:cs="Times New Roman"/>
        </w:rPr>
      </w:pPr>
      <w:r w:rsidRPr="00706869">
        <w:rPr>
          <w:rFonts w:ascii="Times New Roman" w:hAnsi="Times New Roman" w:cs="Times New Roman"/>
        </w:rPr>
        <w:t>The European Union’s Effort to Include Aviation in its Emissions Trading Scheme:  Is</w:t>
      </w:r>
      <w:r>
        <w:rPr>
          <w:rFonts w:ascii="Times New Roman" w:hAnsi="Times New Roman" w:cs="Times New Roman"/>
        </w:rPr>
        <w:t xml:space="preserve">sues of Sovereignty and Jurisdiction </w:t>
      </w:r>
    </w:p>
    <w:p w:rsidR="00706869" w:rsidRPr="00706869" w:rsidRDefault="00706869" w:rsidP="00706869">
      <w:pPr>
        <w:pStyle w:val="NoSpacing"/>
        <w:spacing w:line="480" w:lineRule="auto"/>
        <w:ind w:firstLine="720"/>
        <w:rPr>
          <w:rFonts w:ascii="Times New Roman" w:hAnsi="Times New Roman" w:cs="Times New Roman"/>
        </w:rPr>
      </w:pPr>
    </w:p>
    <w:p w:rsidR="00706869" w:rsidRPr="00706869" w:rsidRDefault="00706869" w:rsidP="00706869">
      <w:pPr>
        <w:pStyle w:val="NoSpacing"/>
        <w:spacing w:line="480" w:lineRule="auto"/>
        <w:ind w:firstLine="720"/>
        <w:rPr>
          <w:rFonts w:ascii="Times New Roman" w:hAnsi="Times New Roman" w:cs="Times New Roman"/>
        </w:rPr>
      </w:pPr>
    </w:p>
    <w:p w:rsidR="00706869" w:rsidRPr="00706869" w:rsidRDefault="00706869" w:rsidP="00706869">
      <w:pPr>
        <w:pStyle w:val="NoSpacing"/>
        <w:spacing w:line="480" w:lineRule="auto"/>
        <w:ind w:firstLine="720"/>
        <w:rPr>
          <w:rFonts w:ascii="Times New Roman" w:hAnsi="Times New Roman" w:cs="Times New Roman"/>
        </w:rPr>
      </w:pPr>
    </w:p>
    <w:p w:rsidR="00706869" w:rsidRPr="00706869" w:rsidRDefault="00706869" w:rsidP="00706869">
      <w:pPr>
        <w:pStyle w:val="NoSpacing"/>
        <w:spacing w:line="480" w:lineRule="auto"/>
        <w:ind w:firstLine="720"/>
        <w:rPr>
          <w:rFonts w:ascii="Times New Roman" w:hAnsi="Times New Roman" w:cs="Times New Roman"/>
        </w:rPr>
      </w:pPr>
    </w:p>
    <w:p w:rsidR="00706869" w:rsidRPr="00706869" w:rsidRDefault="00706869" w:rsidP="00706869">
      <w:pPr>
        <w:pStyle w:val="NoSpacing"/>
        <w:spacing w:line="480" w:lineRule="auto"/>
        <w:ind w:firstLine="720"/>
        <w:rPr>
          <w:rFonts w:ascii="Times New Roman" w:hAnsi="Times New Roman" w:cs="Times New Roman"/>
        </w:rPr>
      </w:pPr>
    </w:p>
    <w:p w:rsidR="00706869" w:rsidRPr="00706869" w:rsidRDefault="00706869" w:rsidP="00706869">
      <w:pPr>
        <w:pStyle w:val="NoSpacing"/>
        <w:spacing w:line="480" w:lineRule="auto"/>
        <w:ind w:firstLine="720"/>
        <w:rPr>
          <w:rFonts w:ascii="Times New Roman" w:hAnsi="Times New Roman" w:cs="Times New Roman"/>
        </w:rPr>
      </w:pPr>
    </w:p>
    <w:p w:rsidR="00706869" w:rsidRPr="00706869" w:rsidRDefault="00706869" w:rsidP="00706869">
      <w:pPr>
        <w:pStyle w:val="NoSpacing"/>
        <w:spacing w:line="480" w:lineRule="auto"/>
        <w:ind w:firstLine="720"/>
        <w:rPr>
          <w:rFonts w:ascii="Times New Roman" w:hAnsi="Times New Roman" w:cs="Times New Roman"/>
        </w:rPr>
      </w:pPr>
    </w:p>
    <w:p w:rsidR="00706869" w:rsidRPr="00706869" w:rsidRDefault="00706869" w:rsidP="00706869">
      <w:pPr>
        <w:pStyle w:val="NoSpacing"/>
        <w:spacing w:line="480" w:lineRule="auto"/>
        <w:ind w:firstLine="720"/>
        <w:rPr>
          <w:rFonts w:ascii="Times New Roman" w:hAnsi="Times New Roman" w:cs="Times New Roman"/>
        </w:rPr>
      </w:pPr>
    </w:p>
    <w:p w:rsidR="00706869" w:rsidRPr="00706869" w:rsidRDefault="00706869" w:rsidP="00706869">
      <w:pPr>
        <w:pStyle w:val="NoSpacing"/>
        <w:spacing w:line="480" w:lineRule="auto"/>
        <w:ind w:firstLine="720"/>
        <w:rPr>
          <w:rFonts w:ascii="Times New Roman" w:hAnsi="Times New Roman" w:cs="Times New Roman"/>
        </w:rPr>
      </w:pPr>
    </w:p>
    <w:p w:rsidR="00706869" w:rsidRPr="00706869" w:rsidRDefault="00706869" w:rsidP="00706869">
      <w:pPr>
        <w:pStyle w:val="NoSpacing"/>
        <w:spacing w:line="480" w:lineRule="auto"/>
        <w:ind w:firstLine="720"/>
        <w:rPr>
          <w:rFonts w:ascii="Times New Roman" w:hAnsi="Times New Roman" w:cs="Times New Roman"/>
        </w:rPr>
      </w:pPr>
    </w:p>
    <w:p w:rsidR="00706869" w:rsidRPr="00706869" w:rsidRDefault="00706869" w:rsidP="00706869">
      <w:pPr>
        <w:pStyle w:val="NoSpacing"/>
        <w:spacing w:line="480" w:lineRule="auto"/>
        <w:ind w:firstLine="720"/>
        <w:rPr>
          <w:rFonts w:ascii="Times New Roman" w:hAnsi="Times New Roman" w:cs="Times New Roman"/>
        </w:rPr>
      </w:pPr>
    </w:p>
    <w:p w:rsidR="00706869" w:rsidRPr="00706869" w:rsidRDefault="00706869" w:rsidP="00706869">
      <w:pPr>
        <w:pStyle w:val="NoSpacing"/>
        <w:spacing w:line="480" w:lineRule="auto"/>
        <w:ind w:firstLine="720"/>
        <w:rPr>
          <w:rFonts w:ascii="Times New Roman" w:hAnsi="Times New Roman" w:cs="Times New Roman"/>
        </w:rPr>
      </w:pPr>
    </w:p>
    <w:p w:rsidR="00706869" w:rsidRPr="00706869" w:rsidRDefault="00706869" w:rsidP="00706869">
      <w:pPr>
        <w:pStyle w:val="NoSpacing"/>
        <w:spacing w:line="480" w:lineRule="auto"/>
        <w:ind w:firstLine="720"/>
        <w:rPr>
          <w:rFonts w:ascii="Times New Roman" w:hAnsi="Times New Roman" w:cs="Times New Roman"/>
        </w:rPr>
      </w:pPr>
    </w:p>
    <w:p w:rsidR="00706869" w:rsidRDefault="00706869" w:rsidP="00706869">
      <w:pPr>
        <w:pStyle w:val="NoSpacing"/>
        <w:spacing w:line="480" w:lineRule="auto"/>
        <w:ind w:firstLine="720"/>
        <w:rPr>
          <w:rFonts w:ascii="Times New Roman" w:hAnsi="Times New Roman" w:cs="Times New Roman"/>
        </w:rPr>
      </w:pPr>
    </w:p>
    <w:p w:rsidR="00706869" w:rsidRDefault="00706869" w:rsidP="00706869">
      <w:pPr>
        <w:pStyle w:val="NoSpacing"/>
        <w:spacing w:line="480" w:lineRule="auto"/>
        <w:ind w:firstLine="720"/>
        <w:rPr>
          <w:rFonts w:ascii="Times New Roman" w:hAnsi="Times New Roman" w:cs="Times New Roman"/>
        </w:rPr>
      </w:pPr>
    </w:p>
    <w:p w:rsidR="00706869" w:rsidRDefault="00706869" w:rsidP="00706869">
      <w:pPr>
        <w:pStyle w:val="NoSpacing"/>
        <w:spacing w:line="480" w:lineRule="auto"/>
        <w:ind w:firstLine="720"/>
        <w:rPr>
          <w:rFonts w:ascii="Times New Roman" w:hAnsi="Times New Roman" w:cs="Times New Roman"/>
        </w:rPr>
      </w:pPr>
    </w:p>
    <w:p w:rsidR="00706869" w:rsidRPr="00706869" w:rsidRDefault="00706869" w:rsidP="00706869">
      <w:pPr>
        <w:pStyle w:val="NoSpacing"/>
        <w:rPr>
          <w:rFonts w:ascii="Times New Roman" w:hAnsi="Times New Roman" w:cs="Times New Roman"/>
        </w:rPr>
      </w:pPr>
      <w:r w:rsidRPr="00706869">
        <w:rPr>
          <w:rFonts w:ascii="Times New Roman" w:hAnsi="Times New Roman" w:cs="Times New Roman"/>
        </w:rPr>
        <w:t>Zachary Eytalis</w:t>
      </w:r>
    </w:p>
    <w:p w:rsidR="00706869" w:rsidRPr="00706869" w:rsidRDefault="00706869" w:rsidP="00706869">
      <w:pPr>
        <w:pStyle w:val="NoSpacing"/>
        <w:rPr>
          <w:rFonts w:ascii="Times New Roman" w:hAnsi="Times New Roman" w:cs="Times New Roman"/>
        </w:rPr>
      </w:pPr>
      <w:r>
        <w:rPr>
          <w:rFonts w:ascii="Times New Roman" w:hAnsi="Times New Roman" w:cs="Times New Roman"/>
        </w:rPr>
        <w:t xml:space="preserve">Student Number </w:t>
      </w:r>
      <w:r w:rsidRPr="00706869">
        <w:rPr>
          <w:rFonts w:ascii="Times New Roman" w:hAnsi="Times New Roman" w:cs="Times New Roman"/>
        </w:rPr>
        <w:t>260462513</w:t>
      </w:r>
    </w:p>
    <w:p w:rsidR="00706869" w:rsidRPr="00706869" w:rsidRDefault="00706869" w:rsidP="00706869">
      <w:pPr>
        <w:pStyle w:val="NoSpacing"/>
        <w:rPr>
          <w:rFonts w:ascii="Times New Roman" w:hAnsi="Times New Roman" w:cs="Times New Roman"/>
        </w:rPr>
      </w:pPr>
      <w:r w:rsidRPr="00706869">
        <w:rPr>
          <w:rFonts w:ascii="Times New Roman" w:hAnsi="Times New Roman" w:cs="Times New Roman"/>
        </w:rPr>
        <w:t xml:space="preserve">Professor Armand de Mestral </w:t>
      </w:r>
    </w:p>
    <w:p w:rsidR="00706869" w:rsidRPr="00706869" w:rsidRDefault="00706869" w:rsidP="00706869">
      <w:pPr>
        <w:pStyle w:val="NoSpacing"/>
        <w:rPr>
          <w:rFonts w:ascii="Times New Roman" w:hAnsi="Times New Roman" w:cs="Times New Roman"/>
        </w:rPr>
      </w:pPr>
      <w:r w:rsidRPr="00706869">
        <w:rPr>
          <w:rFonts w:ascii="Times New Roman" w:hAnsi="Times New Roman" w:cs="Times New Roman"/>
        </w:rPr>
        <w:t>Public International Air Law (ASPL 633)</w:t>
      </w:r>
    </w:p>
    <w:p w:rsidR="00706869" w:rsidRPr="00706869" w:rsidRDefault="00706869" w:rsidP="00706869">
      <w:pPr>
        <w:pStyle w:val="NoSpacing"/>
        <w:rPr>
          <w:rFonts w:ascii="Times New Roman" w:hAnsi="Times New Roman" w:cs="Times New Roman"/>
        </w:rPr>
      </w:pPr>
      <w:r w:rsidRPr="00706869">
        <w:rPr>
          <w:rFonts w:ascii="Times New Roman" w:hAnsi="Times New Roman" w:cs="Times New Roman"/>
        </w:rPr>
        <w:t>7 November 2011</w:t>
      </w:r>
    </w:p>
    <w:p w:rsidR="00706869" w:rsidRDefault="00706869" w:rsidP="006048C2">
      <w:pPr>
        <w:pStyle w:val="NoSpacing"/>
        <w:spacing w:line="480" w:lineRule="auto"/>
        <w:ind w:firstLine="720"/>
        <w:rPr>
          <w:rFonts w:ascii="Times New Roman" w:hAnsi="Times New Roman" w:cs="Times New Roman"/>
        </w:rPr>
      </w:pPr>
    </w:p>
    <w:p w:rsidR="00706869" w:rsidRDefault="00706869" w:rsidP="00706869">
      <w:pPr>
        <w:pStyle w:val="NoSpacing"/>
        <w:spacing w:line="480" w:lineRule="auto"/>
        <w:rPr>
          <w:rFonts w:ascii="Times New Roman" w:hAnsi="Times New Roman" w:cs="Times New Roman"/>
        </w:rPr>
      </w:pPr>
    </w:p>
    <w:p w:rsidR="00CB4F3A" w:rsidRDefault="00CB4F3A" w:rsidP="006048C2">
      <w:pPr>
        <w:pStyle w:val="NoSpacing"/>
        <w:spacing w:line="480" w:lineRule="auto"/>
        <w:ind w:firstLine="720"/>
        <w:rPr>
          <w:rFonts w:ascii="Times New Roman" w:hAnsi="Times New Roman" w:cs="Times New Roman"/>
        </w:rPr>
      </w:pPr>
      <w:r>
        <w:rPr>
          <w:rFonts w:ascii="Times New Roman" w:hAnsi="Times New Roman" w:cs="Times New Roman"/>
        </w:rPr>
        <w:t>Directive 2008/101</w:t>
      </w:r>
      <w:r w:rsidR="009213CD">
        <w:rPr>
          <w:rFonts w:ascii="Times New Roman" w:hAnsi="Times New Roman" w:cs="Times New Roman"/>
        </w:rPr>
        <w:t xml:space="preserve">/EC of the European Parliament </w:t>
      </w:r>
      <w:r>
        <w:rPr>
          <w:rFonts w:ascii="Times New Roman" w:hAnsi="Times New Roman" w:cs="Times New Roman"/>
        </w:rPr>
        <w:t>(hereinafter</w:t>
      </w:r>
      <w:r w:rsidR="009213CD">
        <w:rPr>
          <w:rFonts w:ascii="Times New Roman" w:hAnsi="Times New Roman" w:cs="Times New Roman"/>
        </w:rPr>
        <w:t xml:space="preserve"> the</w:t>
      </w:r>
      <w:r>
        <w:rPr>
          <w:rFonts w:ascii="Times New Roman" w:hAnsi="Times New Roman" w:cs="Times New Roman"/>
        </w:rPr>
        <w:t xml:space="preserve"> “Directive”)</w:t>
      </w:r>
      <w:r w:rsidR="001E4479">
        <w:rPr>
          <w:rFonts w:ascii="Times New Roman" w:hAnsi="Times New Roman" w:cs="Times New Roman"/>
        </w:rPr>
        <w:t xml:space="preserve"> </w:t>
      </w:r>
      <w:r w:rsidR="009213CD">
        <w:rPr>
          <w:rFonts w:ascii="Times New Roman" w:hAnsi="Times New Roman" w:cs="Times New Roman"/>
        </w:rPr>
        <w:t>include</w:t>
      </w:r>
      <w:r w:rsidR="00B23880">
        <w:rPr>
          <w:rFonts w:ascii="Times New Roman" w:hAnsi="Times New Roman" w:cs="Times New Roman"/>
        </w:rPr>
        <w:t>s international</w:t>
      </w:r>
      <w:r w:rsidR="009213CD">
        <w:rPr>
          <w:rFonts w:ascii="Times New Roman" w:hAnsi="Times New Roman" w:cs="Times New Roman"/>
        </w:rPr>
        <w:t xml:space="preserve"> aviation activities in the European Union’s (EU) </w:t>
      </w:r>
      <w:r w:rsidR="00B23880">
        <w:rPr>
          <w:rFonts w:ascii="Times New Roman" w:hAnsi="Times New Roman" w:cs="Times New Roman"/>
        </w:rPr>
        <w:t>emissions trading scheme</w:t>
      </w:r>
      <w:r w:rsidR="009213CD">
        <w:rPr>
          <w:rFonts w:ascii="Times New Roman" w:hAnsi="Times New Roman" w:cs="Times New Roman"/>
        </w:rPr>
        <w:t>.</w:t>
      </w:r>
      <w:r w:rsidR="009213CD">
        <w:rPr>
          <w:rStyle w:val="FootnoteReference"/>
          <w:rFonts w:ascii="Times New Roman" w:hAnsi="Times New Roman" w:cs="Times New Roman"/>
        </w:rPr>
        <w:footnoteReference w:id="1"/>
      </w:r>
      <w:r w:rsidR="009213CD">
        <w:rPr>
          <w:rFonts w:ascii="Times New Roman" w:hAnsi="Times New Roman" w:cs="Times New Roman"/>
        </w:rPr>
        <w:t xml:space="preserve"> The Directive requires aviation emissions reporting and the acquisition of emission allowances for </w:t>
      </w:r>
      <w:r w:rsidR="009213CD" w:rsidRPr="006F43BB">
        <w:rPr>
          <w:rFonts w:ascii="Times New Roman" w:hAnsi="Times New Roman" w:cs="Times New Roman"/>
        </w:rPr>
        <w:t>all flights</w:t>
      </w:r>
      <w:r w:rsidR="00B23880">
        <w:rPr>
          <w:rFonts w:ascii="Times New Roman" w:hAnsi="Times New Roman" w:cs="Times New Roman"/>
        </w:rPr>
        <w:t xml:space="preserve"> regardless of nationality</w:t>
      </w:r>
      <w:r w:rsidR="009213CD" w:rsidRPr="006F43BB">
        <w:rPr>
          <w:rFonts w:ascii="Times New Roman" w:hAnsi="Times New Roman" w:cs="Times New Roman"/>
        </w:rPr>
        <w:t xml:space="preserve"> </w:t>
      </w:r>
      <w:r w:rsidR="00F024B3">
        <w:rPr>
          <w:rFonts w:ascii="Times New Roman" w:hAnsi="Times New Roman" w:cs="Times New Roman"/>
        </w:rPr>
        <w:t>departing from each Member</w:t>
      </w:r>
      <w:r w:rsidR="00D92AA1">
        <w:rPr>
          <w:rFonts w:ascii="Times New Roman" w:hAnsi="Times New Roman" w:cs="Times New Roman"/>
        </w:rPr>
        <w:t xml:space="preserve"> State and arriving in each Member State from a third country starting 1 January </w:t>
      </w:r>
      <w:r w:rsidR="009213CD" w:rsidRPr="006F43BB">
        <w:rPr>
          <w:rFonts w:ascii="Times New Roman" w:hAnsi="Times New Roman" w:cs="Times New Roman"/>
        </w:rPr>
        <w:t>2012</w:t>
      </w:r>
      <w:r w:rsidR="009F3225">
        <w:rPr>
          <w:rFonts w:ascii="Times New Roman" w:hAnsi="Times New Roman" w:cs="Times New Roman"/>
        </w:rPr>
        <w:t>.</w:t>
      </w:r>
      <w:r w:rsidR="005D161A">
        <w:rPr>
          <w:rStyle w:val="FootnoteReference"/>
          <w:rFonts w:ascii="Times New Roman" w:hAnsi="Times New Roman" w:cs="Times New Roman"/>
        </w:rPr>
        <w:footnoteReference w:id="2"/>
      </w:r>
      <w:r w:rsidR="001E4479">
        <w:rPr>
          <w:rFonts w:ascii="Times New Roman" w:hAnsi="Times New Roman" w:cs="Times New Roman"/>
        </w:rPr>
        <w:t xml:space="preserve">  </w:t>
      </w:r>
      <w:r w:rsidR="005D161A" w:rsidRPr="005D161A">
        <w:rPr>
          <w:rFonts w:ascii="Times New Roman" w:hAnsi="Times New Roman" w:cs="Times New Roman"/>
        </w:rPr>
        <w:t xml:space="preserve">In the event that an aircraft operator fails to comply with the requirements of </w:t>
      </w:r>
      <w:r w:rsidR="005D161A">
        <w:rPr>
          <w:rFonts w:ascii="Times New Roman" w:hAnsi="Times New Roman" w:cs="Times New Roman"/>
        </w:rPr>
        <w:t>the</w:t>
      </w:r>
      <w:r w:rsidR="005D161A" w:rsidRPr="005D161A">
        <w:rPr>
          <w:rFonts w:ascii="Times New Roman" w:hAnsi="Times New Roman" w:cs="Times New Roman"/>
        </w:rPr>
        <w:t xml:space="preserve"> Directive and other enforcement measures, </w:t>
      </w:r>
      <w:r w:rsidR="005D161A">
        <w:rPr>
          <w:rFonts w:ascii="Times New Roman" w:hAnsi="Times New Roman" w:cs="Times New Roman"/>
        </w:rPr>
        <w:t xml:space="preserve">the Directive states that </w:t>
      </w:r>
      <w:r w:rsidR="005D161A" w:rsidRPr="005D161A">
        <w:rPr>
          <w:rFonts w:ascii="Times New Roman" w:hAnsi="Times New Roman" w:cs="Times New Roman"/>
        </w:rPr>
        <w:t>Member States should act in solidarity</w:t>
      </w:r>
      <w:r w:rsidR="009F3225">
        <w:rPr>
          <w:rFonts w:ascii="Times New Roman" w:hAnsi="Times New Roman" w:cs="Times New Roman"/>
        </w:rPr>
        <w:t xml:space="preserve"> and contemplates an operating ban at </w:t>
      </w:r>
      <w:r w:rsidR="001E4479">
        <w:rPr>
          <w:rFonts w:ascii="Times New Roman" w:hAnsi="Times New Roman" w:cs="Times New Roman"/>
        </w:rPr>
        <w:t xml:space="preserve">the </w:t>
      </w:r>
      <w:r w:rsidR="009F3225">
        <w:rPr>
          <w:rFonts w:ascii="Times New Roman" w:hAnsi="Times New Roman" w:cs="Times New Roman"/>
        </w:rPr>
        <w:t>Community level on the aircraft operator concerned.</w:t>
      </w:r>
      <w:r w:rsidR="009F3225">
        <w:rPr>
          <w:rStyle w:val="FootnoteReference"/>
          <w:rFonts w:ascii="Times New Roman" w:hAnsi="Times New Roman" w:cs="Times New Roman"/>
        </w:rPr>
        <w:footnoteReference w:id="3"/>
      </w:r>
      <w:r w:rsidR="00177934" w:rsidRPr="00177934">
        <w:rPr>
          <w:rFonts w:ascii="Times New Roman" w:hAnsi="Times New Roman" w:cs="Times New Roman"/>
        </w:rPr>
        <w:t xml:space="preserve"> </w:t>
      </w:r>
    </w:p>
    <w:p w:rsidR="009B5D57" w:rsidRDefault="0074539C" w:rsidP="006048C2">
      <w:pPr>
        <w:pStyle w:val="NoSpacing"/>
        <w:spacing w:line="480" w:lineRule="auto"/>
        <w:ind w:firstLine="720"/>
        <w:rPr>
          <w:rFonts w:ascii="Times New Roman" w:hAnsi="Times New Roman" w:cs="Times New Roman"/>
        </w:rPr>
      </w:pPr>
      <w:r>
        <w:rPr>
          <w:rFonts w:ascii="Times New Roman" w:hAnsi="Times New Roman" w:cs="Times New Roman"/>
        </w:rPr>
        <w:t>Some of the</w:t>
      </w:r>
      <w:r w:rsidR="001E4479">
        <w:rPr>
          <w:rFonts w:ascii="Times New Roman" w:hAnsi="Times New Roman" w:cs="Times New Roman"/>
        </w:rPr>
        <w:t xml:space="preserve"> issues</w:t>
      </w:r>
      <w:r w:rsidR="00C80D89">
        <w:rPr>
          <w:rFonts w:ascii="Times New Roman" w:hAnsi="Times New Roman" w:cs="Times New Roman"/>
        </w:rPr>
        <w:t xml:space="preserve"> associated with t</w:t>
      </w:r>
      <w:r w:rsidR="00CB0832">
        <w:rPr>
          <w:rFonts w:ascii="Times New Roman" w:hAnsi="Times New Roman" w:cs="Times New Roman"/>
        </w:rPr>
        <w:t>he</w:t>
      </w:r>
      <w:r w:rsidR="00C80D89">
        <w:rPr>
          <w:rFonts w:ascii="Times New Roman" w:hAnsi="Times New Roman" w:cs="Times New Roman"/>
        </w:rPr>
        <w:t xml:space="preserve"> Directive </w:t>
      </w:r>
      <w:r>
        <w:rPr>
          <w:rFonts w:ascii="Times New Roman" w:hAnsi="Times New Roman" w:cs="Times New Roman"/>
        </w:rPr>
        <w:t>include</w:t>
      </w:r>
      <w:r w:rsidR="00C80D89">
        <w:rPr>
          <w:rFonts w:ascii="Times New Roman" w:hAnsi="Times New Roman" w:cs="Times New Roman"/>
        </w:rPr>
        <w:t xml:space="preserve"> its </w:t>
      </w:r>
      <w:r w:rsidR="00B23880">
        <w:rPr>
          <w:rFonts w:ascii="Times New Roman" w:hAnsi="Times New Roman" w:cs="Times New Roman"/>
        </w:rPr>
        <w:t>ability</w:t>
      </w:r>
      <w:r>
        <w:rPr>
          <w:rFonts w:ascii="Times New Roman" w:hAnsi="Times New Roman" w:cs="Times New Roman"/>
        </w:rPr>
        <w:t xml:space="preserve"> to </w:t>
      </w:r>
      <w:r w:rsidR="00B23880">
        <w:rPr>
          <w:rFonts w:ascii="Times New Roman" w:hAnsi="Times New Roman" w:cs="Times New Roman"/>
        </w:rPr>
        <w:t>mitigate</w:t>
      </w:r>
      <w:r>
        <w:rPr>
          <w:rFonts w:ascii="Times New Roman" w:hAnsi="Times New Roman" w:cs="Times New Roman"/>
        </w:rPr>
        <w:t xml:space="preserve"> climate change, its </w:t>
      </w:r>
      <w:r w:rsidR="00C80D89">
        <w:rPr>
          <w:rFonts w:ascii="Times New Roman" w:hAnsi="Times New Roman" w:cs="Times New Roman"/>
        </w:rPr>
        <w:t>interaction with</w:t>
      </w:r>
      <w:r w:rsidR="00F024B3">
        <w:rPr>
          <w:rFonts w:ascii="Times New Roman" w:hAnsi="Times New Roman" w:cs="Times New Roman"/>
        </w:rPr>
        <w:t xml:space="preserve"> existing international</w:t>
      </w:r>
      <w:r w:rsidR="00C80D89">
        <w:rPr>
          <w:rFonts w:ascii="Times New Roman" w:hAnsi="Times New Roman" w:cs="Times New Roman"/>
        </w:rPr>
        <w:t xml:space="preserve"> agreements, </w:t>
      </w:r>
      <w:r w:rsidR="005B2407">
        <w:rPr>
          <w:rFonts w:ascii="Times New Roman" w:hAnsi="Times New Roman" w:cs="Times New Roman"/>
        </w:rPr>
        <w:t xml:space="preserve">its </w:t>
      </w:r>
      <w:r w:rsidR="00C80D89">
        <w:rPr>
          <w:rFonts w:ascii="Times New Roman" w:hAnsi="Times New Roman" w:cs="Times New Roman"/>
        </w:rPr>
        <w:t>adherence to the Convention on International Civil Aviation (Chicago Convention), and its consistency with principles of international law. T</w:t>
      </w:r>
      <w:r w:rsidR="001E4479">
        <w:rPr>
          <w:rFonts w:ascii="Times New Roman" w:hAnsi="Times New Roman" w:cs="Times New Roman"/>
        </w:rPr>
        <w:t>he inten</w:t>
      </w:r>
      <w:r w:rsidR="00962715">
        <w:rPr>
          <w:rFonts w:ascii="Times New Roman" w:hAnsi="Times New Roman" w:cs="Times New Roman"/>
        </w:rPr>
        <w:t>t</w:t>
      </w:r>
      <w:r w:rsidR="001E4479">
        <w:rPr>
          <w:rFonts w:ascii="Times New Roman" w:hAnsi="Times New Roman" w:cs="Times New Roman"/>
        </w:rPr>
        <w:t xml:space="preserve"> of this research paper is to </w:t>
      </w:r>
      <w:r>
        <w:rPr>
          <w:rFonts w:ascii="Times New Roman" w:hAnsi="Times New Roman" w:cs="Times New Roman"/>
        </w:rPr>
        <w:t>focus on the</w:t>
      </w:r>
      <w:r w:rsidR="00C80D89">
        <w:rPr>
          <w:rFonts w:ascii="Times New Roman" w:hAnsi="Times New Roman" w:cs="Times New Roman"/>
        </w:rPr>
        <w:t xml:space="preserve"> extraterritorial aspects</w:t>
      </w:r>
      <w:r w:rsidR="00CB0832">
        <w:rPr>
          <w:rFonts w:ascii="Times New Roman" w:hAnsi="Times New Roman" w:cs="Times New Roman"/>
        </w:rPr>
        <w:t xml:space="preserve"> of</w:t>
      </w:r>
      <w:r w:rsidR="00C80D89">
        <w:rPr>
          <w:rFonts w:ascii="Times New Roman" w:hAnsi="Times New Roman" w:cs="Times New Roman"/>
        </w:rPr>
        <w:t xml:space="preserve"> the</w:t>
      </w:r>
      <w:r w:rsidR="001E4479">
        <w:rPr>
          <w:rFonts w:ascii="Times New Roman" w:hAnsi="Times New Roman" w:cs="Times New Roman"/>
        </w:rPr>
        <w:t xml:space="preserve"> Directive </w:t>
      </w:r>
      <w:r>
        <w:rPr>
          <w:rFonts w:ascii="Times New Roman" w:hAnsi="Times New Roman" w:cs="Times New Roman"/>
        </w:rPr>
        <w:t xml:space="preserve">in relationship to principles </w:t>
      </w:r>
      <w:r w:rsidR="009D5BA5">
        <w:rPr>
          <w:rFonts w:ascii="Times New Roman" w:hAnsi="Times New Roman" w:cs="Times New Roman"/>
        </w:rPr>
        <w:t xml:space="preserve">of </w:t>
      </w:r>
      <w:r w:rsidR="00F024B3">
        <w:rPr>
          <w:rFonts w:ascii="Times New Roman" w:hAnsi="Times New Roman" w:cs="Times New Roman"/>
        </w:rPr>
        <w:t>state sovereignty and</w:t>
      </w:r>
      <w:r>
        <w:rPr>
          <w:rFonts w:ascii="Times New Roman" w:hAnsi="Times New Roman" w:cs="Times New Roman"/>
        </w:rPr>
        <w:t xml:space="preserve"> international law</w:t>
      </w:r>
      <w:r w:rsidR="00C80D89">
        <w:rPr>
          <w:rFonts w:ascii="Times New Roman" w:hAnsi="Times New Roman" w:cs="Times New Roman"/>
        </w:rPr>
        <w:t>.</w:t>
      </w:r>
      <w:r w:rsidR="00F024B3">
        <w:rPr>
          <w:rFonts w:ascii="Times New Roman" w:hAnsi="Times New Roman" w:cs="Times New Roman"/>
        </w:rPr>
        <w:t xml:space="preserve"> </w:t>
      </w:r>
      <w:r w:rsidR="00C80D89">
        <w:rPr>
          <w:rFonts w:ascii="Times New Roman" w:hAnsi="Times New Roman" w:cs="Times New Roman"/>
        </w:rPr>
        <w:t xml:space="preserve"> </w:t>
      </w:r>
      <w:r w:rsidR="00F024B3">
        <w:rPr>
          <w:rFonts w:ascii="Times New Roman" w:hAnsi="Times New Roman" w:cs="Times New Roman"/>
        </w:rPr>
        <w:t>Th</w:t>
      </w:r>
      <w:r w:rsidR="007340D0">
        <w:rPr>
          <w:rFonts w:ascii="Times New Roman" w:hAnsi="Times New Roman" w:cs="Times New Roman"/>
        </w:rPr>
        <w:t>is aspect of the Directive is</w:t>
      </w:r>
      <w:r w:rsidR="00F024B3">
        <w:rPr>
          <w:rFonts w:ascii="Times New Roman" w:hAnsi="Times New Roman" w:cs="Times New Roman"/>
        </w:rPr>
        <w:t xml:space="preserve"> critical because while treaties can be re-negotiated and ineffective provisions </w:t>
      </w:r>
      <w:r w:rsidR="009D5BA5">
        <w:rPr>
          <w:rFonts w:ascii="Times New Roman" w:hAnsi="Times New Roman" w:cs="Times New Roman"/>
        </w:rPr>
        <w:t xml:space="preserve">of the Directive </w:t>
      </w:r>
      <w:r w:rsidR="00F024B3">
        <w:rPr>
          <w:rFonts w:ascii="Times New Roman" w:hAnsi="Times New Roman" w:cs="Times New Roman"/>
        </w:rPr>
        <w:t>amended, the failure of the Directive to comport with principle</w:t>
      </w:r>
      <w:r w:rsidR="007340D0">
        <w:rPr>
          <w:rFonts w:ascii="Times New Roman" w:hAnsi="Times New Roman" w:cs="Times New Roman"/>
        </w:rPr>
        <w:t>s</w:t>
      </w:r>
      <w:r w:rsidR="00F024B3">
        <w:rPr>
          <w:rFonts w:ascii="Times New Roman" w:hAnsi="Times New Roman" w:cs="Times New Roman"/>
        </w:rPr>
        <w:t xml:space="preserve"> of sovereignty and international law will render the Directive illegitimate in the international community.  Such a finding, would likely result in retaliatory</w:t>
      </w:r>
      <w:r w:rsidR="007340D0">
        <w:rPr>
          <w:rFonts w:ascii="Times New Roman" w:hAnsi="Times New Roman" w:cs="Times New Roman"/>
        </w:rPr>
        <w:t xml:space="preserve"> measures</w:t>
      </w:r>
      <w:r w:rsidR="00F024B3">
        <w:rPr>
          <w:rFonts w:ascii="Times New Roman" w:hAnsi="Times New Roman" w:cs="Times New Roman"/>
        </w:rPr>
        <w:t xml:space="preserve"> by </w:t>
      </w:r>
      <w:r w:rsidR="007340D0">
        <w:rPr>
          <w:rFonts w:ascii="Times New Roman" w:hAnsi="Times New Roman" w:cs="Times New Roman"/>
        </w:rPr>
        <w:t>other states, frustration of the Directive’s purpose in mitigating climate change, and greatly diminish the EU Community’s hope that the Directive would serve</w:t>
      </w:r>
      <w:r w:rsidR="00CB0832">
        <w:rPr>
          <w:rFonts w:ascii="Times New Roman" w:hAnsi="Times New Roman" w:cs="Times New Roman"/>
        </w:rPr>
        <w:t xml:space="preserve"> as a model of emissions trading worldwide.</w:t>
      </w:r>
      <w:r w:rsidR="00CB0832">
        <w:rPr>
          <w:rStyle w:val="FootnoteReference"/>
          <w:rFonts w:ascii="Times New Roman" w:hAnsi="Times New Roman" w:cs="Times New Roman"/>
        </w:rPr>
        <w:footnoteReference w:id="4"/>
      </w:r>
      <w:r w:rsidR="00CB0832">
        <w:rPr>
          <w:rFonts w:ascii="Times New Roman" w:hAnsi="Times New Roman" w:cs="Times New Roman"/>
        </w:rPr>
        <w:t xml:space="preserve">  </w:t>
      </w:r>
    </w:p>
    <w:p w:rsidR="009B5D57" w:rsidRDefault="009B5D57" w:rsidP="006048C2">
      <w:pPr>
        <w:pStyle w:val="NoSpacing"/>
        <w:spacing w:line="480" w:lineRule="auto"/>
        <w:rPr>
          <w:rFonts w:ascii="Times New Roman" w:hAnsi="Times New Roman" w:cs="Times New Roman"/>
        </w:rPr>
      </w:pPr>
      <w:r>
        <w:rPr>
          <w:rFonts w:ascii="Times New Roman" w:hAnsi="Times New Roman" w:cs="Times New Roman"/>
        </w:rPr>
        <w:tab/>
      </w:r>
      <w:r w:rsidR="007340D0">
        <w:rPr>
          <w:rFonts w:ascii="Times New Roman" w:hAnsi="Times New Roman" w:cs="Times New Roman"/>
        </w:rPr>
        <w:t>A dispute has already erupted concerning the Directive’s adherence to principles of</w:t>
      </w:r>
      <w:r w:rsidR="001D1AA0">
        <w:rPr>
          <w:rFonts w:ascii="Times New Roman" w:hAnsi="Times New Roman" w:cs="Times New Roman"/>
        </w:rPr>
        <w:t xml:space="preserve"> sovereignty and inter</w:t>
      </w:r>
      <w:r w:rsidR="00DD0FB7">
        <w:rPr>
          <w:rFonts w:ascii="Times New Roman" w:hAnsi="Times New Roman" w:cs="Times New Roman"/>
        </w:rPr>
        <w:t>national law</w:t>
      </w:r>
      <w:r w:rsidR="001D1AA0">
        <w:rPr>
          <w:rFonts w:ascii="Times New Roman" w:hAnsi="Times New Roman" w:cs="Times New Roman"/>
        </w:rPr>
        <w:t xml:space="preserve"> in the form of litigation before the Court of Justice for th</w:t>
      </w:r>
      <w:r w:rsidR="00103644">
        <w:rPr>
          <w:rFonts w:ascii="Times New Roman" w:hAnsi="Times New Roman" w:cs="Times New Roman"/>
        </w:rPr>
        <w:t xml:space="preserve">e European Union (CJEU).  </w:t>
      </w:r>
      <w:r w:rsidR="00DC0BEA">
        <w:rPr>
          <w:rFonts w:ascii="Times New Roman" w:hAnsi="Times New Roman" w:cs="Times New Roman"/>
        </w:rPr>
        <w:t>The dispute reached the CJEU after the United Kingdom</w:t>
      </w:r>
      <w:r w:rsidR="00672525">
        <w:rPr>
          <w:rFonts w:ascii="Times New Roman" w:hAnsi="Times New Roman" w:cs="Times New Roman"/>
        </w:rPr>
        <w:t xml:space="preserve"> (UK)</w:t>
      </w:r>
      <w:r w:rsidR="00DC0BEA">
        <w:rPr>
          <w:rFonts w:ascii="Times New Roman" w:hAnsi="Times New Roman" w:cs="Times New Roman"/>
        </w:rPr>
        <w:t xml:space="preserve"> drafted legislation implementing the Directive</w:t>
      </w:r>
      <w:r w:rsidR="009C7686">
        <w:rPr>
          <w:rFonts w:ascii="Times New Roman" w:hAnsi="Times New Roman" w:cs="Times New Roman"/>
        </w:rPr>
        <w:t>.  O</w:t>
      </w:r>
      <w:r w:rsidR="00103644">
        <w:rPr>
          <w:rFonts w:ascii="Times New Roman" w:hAnsi="Times New Roman" w:cs="Times New Roman"/>
        </w:rPr>
        <w:t xml:space="preserve">n 16 December 2009, </w:t>
      </w:r>
      <w:r w:rsidR="009C7686">
        <w:rPr>
          <w:rFonts w:ascii="Times New Roman" w:hAnsi="Times New Roman" w:cs="Times New Roman"/>
        </w:rPr>
        <w:t>t</w:t>
      </w:r>
      <w:r w:rsidR="009C7686" w:rsidRPr="009C7686">
        <w:rPr>
          <w:rFonts w:ascii="Times New Roman" w:hAnsi="Times New Roman" w:cs="Times New Roman"/>
        </w:rPr>
        <w:t>he Air Transport Assoc</w:t>
      </w:r>
      <w:r w:rsidR="00672525">
        <w:rPr>
          <w:rFonts w:ascii="Times New Roman" w:hAnsi="Times New Roman" w:cs="Times New Roman"/>
        </w:rPr>
        <w:t>iation of America, American Airlines</w:t>
      </w:r>
      <w:r w:rsidR="009C7686" w:rsidRPr="009C7686">
        <w:rPr>
          <w:rFonts w:ascii="Times New Roman" w:hAnsi="Times New Roman" w:cs="Times New Roman"/>
        </w:rPr>
        <w:t>, Co</w:t>
      </w:r>
      <w:r w:rsidR="00672525">
        <w:rPr>
          <w:rFonts w:ascii="Times New Roman" w:hAnsi="Times New Roman" w:cs="Times New Roman"/>
        </w:rPr>
        <w:t>ntinental Airlines,</w:t>
      </w:r>
      <w:r w:rsidR="009C7686" w:rsidRPr="009C7686">
        <w:rPr>
          <w:rFonts w:ascii="Times New Roman" w:hAnsi="Times New Roman" w:cs="Times New Roman"/>
        </w:rPr>
        <w:t xml:space="preserve"> and United Air Lines </w:t>
      </w:r>
      <w:r w:rsidR="00672525">
        <w:rPr>
          <w:rFonts w:ascii="Times New Roman" w:hAnsi="Times New Roman" w:cs="Times New Roman"/>
        </w:rPr>
        <w:t xml:space="preserve">(hereinafter </w:t>
      </w:r>
      <w:r w:rsidR="005B2407">
        <w:rPr>
          <w:rFonts w:ascii="Times New Roman" w:hAnsi="Times New Roman" w:cs="Times New Roman"/>
        </w:rPr>
        <w:t>“</w:t>
      </w:r>
      <w:r w:rsidR="00672525">
        <w:rPr>
          <w:rFonts w:ascii="Times New Roman" w:hAnsi="Times New Roman" w:cs="Times New Roman"/>
        </w:rPr>
        <w:t>Claimants</w:t>
      </w:r>
      <w:r w:rsidR="005B2407">
        <w:rPr>
          <w:rFonts w:ascii="Times New Roman" w:hAnsi="Times New Roman" w:cs="Times New Roman"/>
        </w:rPr>
        <w:t>”</w:t>
      </w:r>
      <w:r w:rsidR="00672525">
        <w:rPr>
          <w:rFonts w:ascii="Times New Roman" w:hAnsi="Times New Roman" w:cs="Times New Roman"/>
        </w:rPr>
        <w:t xml:space="preserve">) </w:t>
      </w:r>
      <w:r w:rsidR="009C7686">
        <w:rPr>
          <w:rFonts w:ascii="Times New Roman" w:hAnsi="Times New Roman" w:cs="Times New Roman"/>
        </w:rPr>
        <w:t>brought an action challenging</w:t>
      </w:r>
      <w:r w:rsidR="009C7686" w:rsidRPr="0037249D">
        <w:rPr>
          <w:rFonts w:ascii="Times New Roman" w:hAnsi="Times New Roman" w:cs="Times New Roman"/>
        </w:rPr>
        <w:t xml:space="preserve"> the 2009 </w:t>
      </w:r>
      <w:r w:rsidR="009C7686">
        <w:rPr>
          <w:rFonts w:ascii="Times New Roman" w:hAnsi="Times New Roman" w:cs="Times New Roman"/>
        </w:rPr>
        <w:t xml:space="preserve">UK </w:t>
      </w:r>
      <w:r w:rsidR="009C7686" w:rsidRPr="0037249D">
        <w:rPr>
          <w:rFonts w:ascii="Times New Roman" w:hAnsi="Times New Roman" w:cs="Times New Roman"/>
        </w:rPr>
        <w:t xml:space="preserve">Regulations in the High Court of Justice of </w:t>
      </w:r>
      <w:r w:rsidR="00103644">
        <w:rPr>
          <w:rFonts w:ascii="Times New Roman" w:hAnsi="Times New Roman" w:cs="Times New Roman"/>
        </w:rPr>
        <w:t>England and Wales</w:t>
      </w:r>
      <w:r w:rsidR="009C7686">
        <w:rPr>
          <w:rFonts w:ascii="Times New Roman" w:hAnsi="Times New Roman" w:cs="Times New Roman"/>
        </w:rPr>
        <w:t xml:space="preserve">. </w:t>
      </w:r>
      <w:r w:rsidR="00886DC1">
        <w:rPr>
          <w:rFonts w:ascii="Times New Roman" w:hAnsi="Times New Roman" w:cs="Times New Roman"/>
        </w:rPr>
        <w:t xml:space="preserve"> </w:t>
      </w:r>
      <w:r w:rsidR="00886DC1" w:rsidRPr="00886DC1">
        <w:rPr>
          <w:rFonts w:ascii="Times New Roman" w:hAnsi="Times New Roman" w:cs="Times New Roman"/>
        </w:rPr>
        <w:t xml:space="preserve">The </w:t>
      </w:r>
      <w:r w:rsidR="00886DC1">
        <w:rPr>
          <w:rFonts w:ascii="Times New Roman" w:hAnsi="Times New Roman" w:cs="Times New Roman"/>
        </w:rPr>
        <w:t xml:space="preserve">formal </w:t>
      </w:r>
      <w:r w:rsidR="00886DC1" w:rsidRPr="00886DC1">
        <w:rPr>
          <w:rFonts w:ascii="Times New Roman" w:hAnsi="Times New Roman" w:cs="Times New Roman"/>
        </w:rPr>
        <w:t>defendant is the United Kingdom Minister for Energy and Climate Chang</w:t>
      </w:r>
      <w:r w:rsidR="00886DC1">
        <w:rPr>
          <w:rFonts w:ascii="Times New Roman" w:hAnsi="Times New Roman" w:cs="Times New Roman"/>
        </w:rPr>
        <w:t>e</w:t>
      </w:r>
      <w:r w:rsidR="00672525">
        <w:rPr>
          <w:rFonts w:ascii="Times New Roman" w:hAnsi="Times New Roman" w:cs="Times New Roman"/>
        </w:rPr>
        <w:t xml:space="preserve"> (hereinafter </w:t>
      </w:r>
      <w:r w:rsidR="005B2407">
        <w:rPr>
          <w:rFonts w:ascii="Times New Roman" w:hAnsi="Times New Roman" w:cs="Times New Roman"/>
        </w:rPr>
        <w:t>“</w:t>
      </w:r>
      <w:r w:rsidR="00672525">
        <w:rPr>
          <w:rFonts w:ascii="Times New Roman" w:hAnsi="Times New Roman" w:cs="Times New Roman"/>
        </w:rPr>
        <w:t>Defendant</w:t>
      </w:r>
      <w:r w:rsidR="005B2407">
        <w:rPr>
          <w:rFonts w:ascii="Times New Roman" w:hAnsi="Times New Roman" w:cs="Times New Roman"/>
        </w:rPr>
        <w:t>”</w:t>
      </w:r>
      <w:r w:rsidR="00672525">
        <w:rPr>
          <w:rFonts w:ascii="Times New Roman" w:hAnsi="Times New Roman" w:cs="Times New Roman"/>
        </w:rPr>
        <w:t>)</w:t>
      </w:r>
      <w:r w:rsidR="00DD0FB7">
        <w:rPr>
          <w:rFonts w:ascii="Times New Roman" w:hAnsi="Times New Roman" w:cs="Times New Roman"/>
        </w:rPr>
        <w:t xml:space="preserve"> who is</w:t>
      </w:r>
      <w:r w:rsidR="00886DC1" w:rsidRPr="00886DC1">
        <w:rPr>
          <w:rFonts w:ascii="Times New Roman" w:hAnsi="Times New Roman" w:cs="Times New Roman"/>
        </w:rPr>
        <w:t xml:space="preserve"> the national authority primarily responsible for the implementation of </w:t>
      </w:r>
      <w:r w:rsidR="00103644">
        <w:rPr>
          <w:rFonts w:ascii="Times New Roman" w:hAnsi="Times New Roman" w:cs="Times New Roman"/>
        </w:rPr>
        <w:t xml:space="preserve">the </w:t>
      </w:r>
      <w:r w:rsidR="00886DC1" w:rsidRPr="00886DC1">
        <w:rPr>
          <w:rFonts w:ascii="Times New Roman" w:hAnsi="Times New Roman" w:cs="Times New Roman"/>
        </w:rPr>
        <w:t>Directive.</w:t>
      </w:r>
      <w:r w:rsidR="009C7686">
        <w:rPr>
          <w:rFonts w:ascii="Times New Roman" w:hAnsi="Times New Roman" w:cs="Times New Roman"/>
        </w:rPr>
        <w:t xml:space="preserve"> </w:t>
      </w:r>
      <w:r w:rsidR="0037249D">
        <w:rPr>
          <w:rFonts w:ascii="Times New Roman" w:hAnsi="Times New Roman" w:cs="Times New Roman"/>
        </w:rPr>
        <w:t xml:space="preserve">That court subsequently referred the action to the </w:t>
      </w:r>
      <w:r w:rsidR="00103644">
        <w:rPr>
          <w:rFonts w:ascii="Times New Roman" w:hAnsi="Times New Roman" w:cs="Times New Roman"/>
        </w:rPr>
        <w:t>CJEU</w:t>
      </w:r>
      <w:r w:rsidR="0037249D">
        <w:rPr>
          <w:rFonts w:ascii="Times New Roman" w:hAnsi="Times New Roman" w:cs="Times New Roman"/>
        </w:rPr>
        <w:t xml:space="preserve"> to provide guidance with respect to a number of ques</w:t>
      </w:r>
      <w:r w:rsidR="009C7686">
        <w:rPr>
          <w:rFonts w:ascii="Times New Roman" w:hAnsi="Times New Roman" w:cs="Times New Roman"/>
        </w:rPr>
        <w:t xml:space="preserve">tions relating the </w:t>
      </w:r>
      <w:r w:rsidR="00103644">
        <w:rPr>
          <w:rFonts w:ascii="Times New Roman" w:hAnsi="Times New Roman" w:cs="Times New Roman"/>
        </w:rPr>
        <w:t>Directive</w:t>
      </w:r>
      <w:r w:rsidR="0037249D">
        <w:rPr>
          <w:rFonts w:ascii="Times New Roman" w:hAnsi="Times New Roman" w:cs="Times New Roman"/>
        </w:rPr>
        <w:t>.</w:t>
      </w:r>
      <w:r w:rsidR="005B2407">
        <w:rPr>
          <w:rFonts w:ascii="Times New Roman" w:hAnsi="Times New Roman" w:cs="Times New Roman"/>
        </w:rPr>
        <w:t xml:space="preserve">  These questions include,</w:t>
      </w:r>
      <w:r w:rsidR="00672525">
        <w:rPr>
          <w:rFonts w:ascii="Times New Roman" w:hAnsi="Times New Roman" w:cs="Times New Roman"/>
        </w:rPr>
        <w:t xml:space="preserve"> </w:t>
      </w:r>
      <w:r w:rsidR="00672525">
        <w:rPr>
          <w:rFonts w:ascii="Times New Roman" w:hAnsi="Times New Roman" w:cs="Times New Roman"/>
          <w:i/>
        </w:rPr>
        <w:t>inter alia</w:t>
      </w:r>
      <w:r w:rsidR="005B2407">
        <w:rPr>
          <w:rFonts w:ascii="Times New Roman" w:hAnsi="Times New Roman" w:cs="Times New Roman"/>
          <w:i/>
        </w:rPr>
        <w:t>,</w:t>
      </w:r>
      <w:r w:rsidR="00672525">
        <w:rPr>
          <w:rFonts w:ascii="Times New Roman" w:hAnsi="Times New Roman" w:cs="Times New Roman"/>
          <w:i/>
        </w:rPr>
        <w:t xml:space="preserve"> </w:t>
      </w:r>
      <w:r w:rsidR="00672525">
        <w:rPr>
          <w:rFonts w:ascii="Times New Roman" w:hAnsi="Times New Roman" w:cs="Times New Roman"/>
        </w:rPr>
        <w:t>issues relating to customary international law and sovereignty</w:t>
      </w:r>
      <w:r w:rsidR="007340D0">
        <w:rPr>
          <w:rFonts w:ascii="Times New Roman" w:hAnsi="Times New Roman" w:cs="Times New Roman"/>
        </w:rPr>
        <w:t>.</w:t>
      </w:r>
      <w:r w:rsidR="00886DC1">
        <w:rPr>
          <w:rStyle w:val="FootnoteReference"/>
          <w:rFonts w:ascii="Times New Roman" w:hAnsi="Times New Roman" w:cs="Times New Roman"/>
        </w:rPr>
        <w:footnoteReference w:id="5"/>
      </w:r>
      <w:r w:rsidR="00091D08">
        <w:rPr>
          <w:rFonts w:ascii="Times New Roman" w:hAnsi="Times New Roman" w:cs="Times New Roman"/>
        </w:rPr>
        <w:t xml:space="preserve">  </w:t>
      </w:r>
      <w:r w:rsidR="00B10C67">
        <w:rPr>
          <w:rFonts w:ascii="Times New Roman" w:hAnsi="Times New Roman" w:cs="Times New Roman"/>
        </w:rPr>
        <w:t>As of the writing of this paper the CJEU has not issued a formal opinion.</w:t>
      </w:r>
    </w:p>
    <w:p w:rsidR="007567F1" w:rsidRDefault="00B10C67" w:rsidP="006048C2">
      <w:pPr>
        <w:pStyle w:val="NoSpacing"/>
        <w:spacing w:line="480" w:lineRule="auto"/>
        <w:ind w:firstLine="720"/>
        <w:rPr>
          <w:rFonts w:ascii="Times New Roman" w:hAnsi="Times New Roman" w:cs="Times New Roman"/>
        </w:rPr>
      </w:pPr>
      <w:r>
        <w:rPr>
          <w:rFonts w:ascii="Times New Roman" w:hAnsi="Times New Roman" w:cs="Times New Roman"/>
        </w:rPr>
        <w:t>T</w:t>
      </w:r>
      <w:r w:rsidR="00DB0A2B">
        <w:rPr>
          <w:rFonts w:ascii="Times New Roman" w:hAnsi="Times New Roman" w:cs="Times New Roman"/>
        </w:rPr>
        <w:t xml:space="preserve">he Claimants </w:t>
      </w:r>
      <w:r>
        <w:rPr>
          <w:rFonts w:ascii="Times New Roman" w:hAnsi="Times New Roman" w:cs="Times New Roman"/>
        </w:rPr>
        <w:t>are asserting</w:t>
      </w:r>
      <w:r w:rsidR="00DB0A2B">
        <w:rPr>
          <w:rFonts w:ascii="Times New Roman" w:hAnsi="Times New Roman" w:cs="Times New Roman"/>
        </w:rPr>
        <w:t xml:space="preserve"> </w:t>
      </w:r>
      <w:r>
        <w:rPr>
          <w:rFonts w:ascii="Times New Roman" w:hAnsi="Times New Roman" w:cs="Times New Roman"/>
        </w:rPr>
        <w:t xml:space="preserve">that </w:t>
      </w:r>
      <w:r w:rsidR="00DB0A2B">
        <w:rPr>
          <w:rFonts w:ascii="Times New Roman" w:hAnsi="Times New Roman" w:cs="Times New Roman"/>
        </w:rPr>
        <w:t xml:space="preserve">the </w:t>
      </w:r>
      <w:r w:rsidR="00672525">
        <w:rPr>
          <w:rFonts w:ascii="Times New Roman" w:hAnsi="Times New Roman" w:cs="Times New Roman"/>
        </w:rPr>
        <w:t>Directive</w:t>
      </w:r>
      <w:r w:rsidR="00DB0A2B">
        <w:rPr>
          <w:rFonts w:ascii="Times New Roman" w:hAnsi="Times New Roman" w:cs="Times New Roman"/>
        </w:rPr>
        <w:t xml:space="preserve"> </w:t>
      </w:r>
      <w:r w:rsidR="00E230D5">
        <w:rPr>
          <w:rFonts w:ascii="Times New Roman" w:hAnsi="Times New Roman" w:cs="Times New Roman"/>
        </w:rPr>
        <w:t xml:space="preserve">is an impermissible extension of </w:t>
      </w:r>
      <w:r w:rsidR="00672525">
        <w:rPr>
          <w:rFonts w:ascii="Times New Roman" w:hAnsi="Times New Roman" w:cs="Times New Roman"/>
        </w:rPr>
        <w:t>the EU’s</w:t>
      </w:r>
      <w:r w:rsidR="00E230D5">
        <w:rPr>
          <w:rFonts w:ascii="Times New Roman" w:hAnsi="Times New Roman" w:cs="Times New Roman"/>
        </w:rPr>
        <w:t xml:space="preserve"> sovereignty</w:t>
      </w:r>
      <w:r w:rsidR="00DB0A2B">
        <w:rPr>
          <w:rFonts w:ascii="Times New Roman" w:hAnsi="Times New Roman" w:cs="Times New Roman"/>
        </w:rPr>
        <w:t xml:space="preserve"> </w:t>
      </w:r>
      <w:r w:rsidR="00046675" w:rsidRPr="00046675">
        <w:rPr>
          <w:rFonts w:ascii="Times New Roman" w:hAnsi="Times New Roman" w:cs="Times New Roman"/>
        </w:rPr>
        <w:t xml:space="preserve">by not confining its emissions trading scheme to wholly intra-European flights and by including within it those sections of international flights that take place over the high seas </w:t>
      </w:r>
      <w:r>
        <w:rPr>
          <w:rFonts w:ascii="Times New Roman" w:hAnsi="Times New Roman" w:cs="Times New Roman"/>
        </w:rPr>
        <w:t>and</w:t>
      </w:r>
      <w:r w:rsidR="00046675" w:rsidRPr="00046675">
        <w:rPr>
          <w:rFonts w:ascii="Times New Roman" w:hAnsi="Times New Roman" w:cs="Times New Roman"/>
        </w:rPr>
        <w:t xml:space="preserve"> third countries.</w:t>
      </w:r>
      <w:r w:rsidR="00BC1619">
        <w:rPr>
          <w:rFonts w:ascii="Times New Roman" w:hAnsi="Times New Roman" w:cs="Times New Roman"/>
        </w:rPr>
        <w:t xml:space="preserve">  </w:t>
      </w:r>
      <w:r w:rsidR="00262754">
        <w:rPr>
          <w:rFonts w:ascii="Times New Roman" w:hAnsi="Times New Roman" w:cs="Times New Roman"/>
        </w:rPr>
        <w:t>T</w:t>
      </w:r>
      <w:r w:rsidR="00B12202">
        <w:rPr>
          <w:rFonts w:ascii="Times New Roman" w:hAnsi="Times New Roman" w:cs="Times New Roman"/>
        </w:rPr>
        <w:t xml:space="preserve">he Claimants are contending that the application of </w:t>
      </w:r>
      <w:r w:rsidR="00672525">
        <w:rPr>
          <w:rFonts w:ascii="Times New Roman" w:hAnsi="Times New Roman" w:cs="Times New Roman"/>
        </w:rPr>
        <w:t>Directive</w:t>
      </w:r>
      <w:r w:rsidR="00B47A98">
        <w:rPr>
          <w:rFonts w:ascii="Times New Roman" w:hAnsi="Times New Roman" w:cs="Times New Roman"/>
        </w:rPr>
        <w:t xml:space="preserve"> is </w:t>
      </w:r>
      <w:r w:rsidR="007340D0">
        <w:rPr>
          <w:rFonts w:ascii="Times New Roman" w:hAnsi="Times New Roman" w:cs="Times New Roman"/>
        </w:rPr>
        <w:t xml:space="preserve">impermissibly </w:t>
      </w:r>
      <w:proofErr w:type="gramStart"/>
      <w:r w:rsidR="00B47A98">
        <w:rPr>
          <w:rFonts w:ascii="Times New Roman" w:hAnsi="Times New Roman" w:cs="Times New Roman"/>
        </w:rPr>
        <w:t>ext</w:t>
      </w:r>
      <w:r w:rsidR="00A67325">
        <w:rPr>
          <w:rFonts w:ascii="Times New Roman" w:hAnsi="Times New Roman" w:cs="Times New Roman"/>
        </w:rPr>
        <w:t>ra</w:t>
      </w:r>
      <w:r w:rsidR="00B71DA8">
        <w:rPr>
          <w:rFonts w:ascii="Times New Roman" w:hAnsi="Times New Roman" w:cs="Times New Roman"/>
        </w:rPr>
        <w:t>territorial</w:t>
      </w:r>
      <w:proofErr w:type="gramEnd"/>
      <w:r w:rsidR="00262754">
        <w:rPr>
          <w:rFonts w:ascii="Times New Roman" w:hAnsi="Times New Roman" w:cs="Times New Roman"/>
        </w:rPr>
        <w:t xml:space="preserve"> in that it seeks to regulate condu</w:t>
      </w:r>
      <w:r w:rsidR="00BC1619">
        <w:rPr>
          <w:rFonts w:ascii="Times New Roman" w:hAnsi="Times New Roman" w:cs="Times New Roman"/>
        </w:rPr>
        <w:t xml:space="preserve">ct </w:t>
      </w:r>
      <w:r w:rsidR="00A67325">
        <w:rPr>
          <w:rFonts w:ascii="Times New Roman" w:hAnsi="Times New Roman" w:cs="Times New Roman"/>
        </w:rPr>
        <w:t>over the high seas and third states</w:t>
      </w:r>
      <w:r w:rsidR="00BC1619">
        <w:rPr>
          <w:rFonts w:ascii="Times New Roman" w:hAnsi="Times New Roman" w:cs="Times New Roman"/>
        </w:rPr>
        <w:t>.</w:t>
      </w:r>
      <w:r w:rsidR="00972979">
        <w:rPr>
          <w:rStyle w:val="FootnoteReference"/>
          <w:rFonts w:ascii="Times New Roman" w:hAnsi="Times New Roman" w:cs="Times New Roman"/>
        </w:rPr>
        <w:footnoteReference w:id="6"/>
      </w:r>
      <w:r w:rsidR="00972979">
        <w:rPr>
          <w:rFonts w:ascii="Times New Roman" w:hAnsi="Times New Roman" w:cs="Times New Roman"/>
        </w:rPr>
        <w:t xml:space="preserve"> </w:t>
      </w:r>
      <w:r w:rsidR="00BC1619">
        <w:rPr>
          <w:rFonts w:ascii="Times New Roman" w:hAnsi="Times New Roman" w:cs="Times New Roman"/>
        </w:rPr>
        <w:t xml:space="preserve">  </w:t>
      </w:r>
      <w:r w:rsidR="00262754">
        <w:rPr>
          <w:rFonts w:ascii="Times New Roman" w:hAnsi="Times New Roman" w:cs="Times New Roman"/>
        </w:rPr>
        <w:t xml:space="preserve">The specific </w:t>
      </w:r>
      <w:r w:rsidR="00091D08">
        <w:rPr>
          <w:rFonts w:ascii="Times New Roman" w:hAnsi="Times New Roman" w:cs="Times New Roman"/>
        </w:rPr>
        <w:t xml:space="preserve">extraterritorial </w:t>
      </w:r>
      <w:r w:rsidR="00262754">
        <w:rPr>
          <w:rFonts w:ascii="Times New Roman" w:hAnsi="Times New Roman" w:cs="Times New Roman"/>
        </w:rPr>
        <w:t xml:space="preserve">conduct </w:t>
      </w:r>
      <w:r w:rsidR="007340D0">
        <w:rPr>
          <w:rFonts w:ascii="Times New Roman" w:hAnsi="Times New Roman" w:cs="Times New Roman"/>
        </w:rPr>
        <w:t xml:space="preserve">required by the </w:t>
      </w:r>
      <w:r w:rsidR="00B23880">
        <w:rPr>
          <w:rFonts w:ascii="Times New Roman" w:hAnsi="Times New Roman" w:cs="Times New Roman"/>
        </w:rPr>
        <w:t>D</w:t>
      </w:r>
      <w:r w:rsidR="007340D0">
        <w:rPr>
          <w:rFonts w:ascii="Times New Roman" w:hAnsi="Times New Roman" w:cs="Times New Roman"/>
        </w:rPr>
        <w:t>irective is</w:t>
      </w:r>
      <w:r w:rsidR="00262754">
        <w:rPr>
          <w:rFonts w:ascii="Times New Roman" w:hAnsi="Times New Roman" w:cs="Times New Roman"/>
        </w:rPr>
        <w:t xml:space="preserve"> 1) emissions reporting; and 2) the purchase of emissions allowances for all </w:t>
      </w:r>
      <w:r w:rsidR="00A67325">
        <w:rPr>
          <w:rFonts w:ascii="Times New Roman" w:hAnsi="Times New Roman" w:cs="Times New Roman"/>
        </w:rPr>
        <w:t>flights, which</w:t>
      </w:r>
      <w:r w:rsidR="00262754">
        <w:rPr>
          <w:rFonts w:ascii="Times New Roman" w:hAnsi="Times New Roman" w:cs="Times New Roman"/>
        </w:rPr>
        <w:t xml:space="preserve"> depart from or arrive </w:t>
      </w:r>
      <w:r w:rsidR="00A67325">
        <w:rPr>
          <w:rFonts w:ascii="Times New Roman" w:hAnsi="Times New Roman" w:cs="Times New Roman"/>
        </w:rPr>
        <w:t>in a Member State</w:t>
      </w:r>
      <w:r w:rsidR="00262754">
        <w:rPr>
          <w:rFonts w:ascii="Times New Roman" w:hAnsi="Times New Roman" w:cs="Times New Roman"/>
        </w:rPr>
        <w:t xml:space="preserve">, irrespective of </w:t>
      </w:r>
      <w:r w:rsidR="00B23880">
        <w:rPr>
          <w:rFonts w:ascii="Times New Roman" w:hAnsi="Times New Roman" w:cs="Times New Roman"/>
        </w:rPr>
        <w:t>its</w:t>
      </w:r>
      <w:r w:rsidR="00262754">
        <w:rPr>
          <w:rFonts w:ascii="Times New Roman" w:hAnsi="Times New Roman" w:cs="Times New Roman"/>
        </w:rPr>
        <w:t xml:space="preserve"> nationality</w:t>
      </w:r>
      <w:r w:rsidR="00BC1619">
        <w:rPr>
          <w:rFonts w:ascii="Times New Roman" w:hAnsi="Times New Roman" w:cs="Times New Roman"/>
        </w:rPr>
        <w:t xml:space="preserve">, </w:t>
      </w:r>
      <w:r w:rsidR="00262754">
        <w:rPr>
          <w:rFonts w:ascii="Times New Roman" w:hAnsi="Times New Roman" w:cs="Times New Roman"/>
        </w:rPr>
        <w:t>state of origination</w:t>
      </w:r>
      <w:r w:rsidR="00BC1619">
        <w:rPr>
          <w:rFonts w:ascii="Times New Roman" w:hAnsi="Times New Roman" w:cs="Times New Roman"/>
        </w:rPr>
        <w:t>,</w:t>
      </w:r>
      <w:r w:rsidR="00262754">
        <w:rPr>
          <w:rFonts w:ascii="Times New Roman" w:hAnsi="Times New Roman" w:cs="Times New Roman"/>
        </w:rPr>
        <w:t xml:space="preserve"> or destination.</w:t>
      </w:r>
      <w:r w:rsidR="00972979">
        <w:rPr>
          <w:rStyle w:val="FootnoteReference"/>
          <w:rFonts w:ascii="Times New Roman" w:hAnsi="Times New Roman" w:cs="Times New Roman"/>
        </w:rPr>
        <w:footnoteReference w:id="7"/>
      </w:r>
      <w:r w:rsidR="00C432B0" w:rsidRPr="00C432B0">
        <w:rPr>
          <w:rStyle w:val="FootnoteReference"/>
          <w:rFonts w:ascii="Times New Roman" w:hAnsi="Times New Roman" w:cs="Times New Roman"/>
        </w:rPr>
        <w:t xml:space="preserve"> </w:t>
      </w:r>
    </w:p>
    <w:p w:rsidR="00B71DA8" w:rsidRDefault="00A67325" w:rsidP="006048C2">
      <w:pPr>
        <w:pStyle w:val="NoSpacing"/>
        <w:spacing w:line="480" w:lineRule="auto"/>
        <w:ind w:firstLine="720"/>
        <w:rPr>
          <w:rFonts w:ascii="Times New Roman" w:hAnsi="Times New Roman" w:cs="Times New Roman"/>
        </w:rPr>
      </w:pPr>
      <w:r>
        <w:rPr>
          <w:rFonts w:ascii="Times New Roman" w:hAnsi="Times New Roman" w:cs="Times New Roman"/>
        </w:rPr>
        <w:t>The D</w:t>
      </w:r>
      <w:r w:rsidR="007567F1">
        <w:rPr>
          <w:rFonts w:ascii="Times New Roman" w:hAnsi="Times New Roman" w:cs="Times New Roman"/>
        </w:rPr>
        <w:t>efendant</w:t>
      </w:r>
      <w:r w:rsidR="00B10C67">
        <w:rPr>
          <w:rFonts w:ascii="Times New Roman" w:hAnsi="Times New Roman" w:cs="Times New Roman"/>
        </w:rPr>
        <w:t xml:space="preserve"> claim</w:t>
      </w:r>
      <w:r w:rsidR="006173CA">
        <w:rPr>
          <w:rFonts w:ascii="Times New Roman" w:hAnsi="Times New Roman" w:cs="Times New Roman"/>
        </w:rPr>
        <w:t>s</w:t>
      </w:r>
      <w:r w:rsidR="00945545">
        <w:rPr>
          <w:rFonts w:ascii="Times New Roman" w:hAnsi="Times New Roman" w:cs="Times New Roman"/>
        </w:rPr>
        <w:t xml:space="preserve"> the Directive is not </w:t>
      </w:r>
      <w:proofErr w:type="gramStart"/>
      <w:r w:rsidR="00945545">
        <w:rPr>
          <w:rFonts w:ascii="Times New Roman" w:hAnsi="Times New Roman" w:cs="Times New Roman"/>
        </w:rPr>
        <w:t>extraterritorial</w:t>
      </w:r>
      <w:proofErr w:type="gramEnd"/>
      <w:r w:rsidR="00945545">
        <w:rPr>
          <w:rFonts w:ascii="Times New Roman" w:hAnsi="Times New Roman" w:cs="Times New Roman"/>
        </w:rPr>
        <w:t xml:space="preserve"> in that it is not</w:t>
      </w:r>
      <w:r w:rsidR="007567F1">
        <w:rPr>
          <w:rFonts w:ascii="Times New Roman" w:hAnsi="Times New Roman" w:cs="Times New Roman"/>
        </w:rPr>
        <w:t xml:space="preserve"> regulating conduct that occurs beyond the EU’s territory. </w:t>
      </w:r>
      <w:r w:rsidR="00B10C67">
        <w:rPr>
          <w:rFonts w:ascii="Times New Roman" w:hAnsi="Times New Roman" w:cs="Times New Roman"/>
        </w:rPr>
        <w:t xml:space="preserve"> The D</w:t>
      </w:r>
      <w:r w:rsidR="005F1454">
        <w:rPr>
          <w:rFonts w:ascii="Times New Roman" w:hAnsi="Times New Roman" w:cs="Times New Roman"/>
        </w:rPr>
        <w:t xml:space="preserve">irective merely “takes account” of activities that have occurred outside of its sovereignty territory.  The </w:t>
      </w:r>
      <w:r w:rsidR="00B10C67">
        <w:rPr>
          <w:rFonts w:ascii="Times New Roman" w:hAnsi="Times New Roman" w:cs="Times New Roman"/>
        </w:rPr>
        <w:t>Defendant</w:t>
      </w:r>
      <w:r w:rsidR="005F1454">
        <w:rPr>
          <w:rFonts w:ascii="Times New Roman" w:hAnsi="Times New Roman" w:cs="Times New Roman"/>
        </w:rPr>
        <w:t xml:space="preserve"> claim</w:t>
      </w:r>
      <w:r w:rsidR="00B10C67">
        <w:rPr>
          <w:rFonts w:ascii="Times New Roman" w:hAnsi="Times New Roman" w:cs="Times New Roman"/>
        </w:rPr>
        <w:t>s</w:t>
      </w:r>
      <w:r w:rsidR="005F1454">
        <w:rPr>
          <w:rFonts w:ascii="Times New Roman" w:hAnsi="Times New Roman" w:cs="Times New Roman"/>
        </w:rPr>
        <w:t xml:space="preserve"> it is entirely permissible under international law to take into account activities that have occurred outside of one’s sovereign territory to determine the actions that can be taken inside a state’s sovereign territory.</w:t>
      </w:r>
      <w:r w:rsidR="005F1454">
        <w:rPr>
          <w:rStyle w:val="FootnoteReference"/>
          <w:rFonts w:ascii="Times New Roman" w:hAnsi="Times New Roman" w:cs="Times New Roman"/>
        </w:rPr>
        <w:footnoteReference w:id="8"/>
      </w:r>
    </w:p>
    <w:p w:rsidR="008359A4" w:rsidRDefault="008359A4" w:rsidP="002E5CEE">
      <w:pPr>
        <w:pStyle w:val="NoSpacing"/>
        <w:spacing w:line="480" w:lineRule="auto"/>
        <w:ind w:firstLine="720"/>
        <w:rPr>
          <w:rFonts w:ascii="Times New Roman" w:hAnsi="Times New Roman" w:cs="Times New Roman"/>
        </w:rPr>
      </w:pPr>
      <w:r>
        <w:rPr>
          <w:rFonts w:ascii="Times New Roman" w:hAnsi="Times New Roman" w:cs="Times New Roman"/>
        </w:rPr>
        <w:t xml:space="preserve">In defining extraterritorial conduct, a task that is critical to this analysis, it is important to consider that which is extraterritorial.  </w:t>
      </w:r>
      <w:r w:rsidR="002E00BB">
        <w:rPr>
          <w:rFonts w:ascii="Times New Roman" w:hAnsi="Times New Roman" w:cs="Times New Roman"/>
        </w:rPr>
        <w:t>E</w:t>
      </w:r>
      <w:r w:rsidR="002E00BB" w:rsidRPr="006F43BB">
        <w:rPr>
          <w:rFonts w:ascii="Times New Roman" w:hAnsi="Times New Roman" w:cs="Times New Roman"/>
        </w:rPr>
        <w:t xml:space="preserve">xtraterritorial </w:t>
      </w:r>
      <w:r w:rsidR="002E00BB">
        <w:rPr>
          <w:rFonts w:ascii="Times New Roman" w:hAnsi="Times New Roman" w:cs="Times New Roman"/>
        </w:rPr>
        <w:t>is</w:t>
      </w:r>
      <w:r w:rsidR="002E00BB" w:rsidRPr="006F43BB">
        <w:rPr>
          <w:rFonts w:ascii="Times New Roman" w:hAnsi="Times New Roman" w:cs="Times New Roman"/>
        </w:rPr>
        <w:t xml:space="preserve"> </w:t>
      </w:r>
      <w:r w:rsidR="002E00BB">
        <w:rPr>
          <w:rFonts w:ascii="Times New Roman" w:hAnsi="Times New Roman" w:cs="Times New Roman"/>
        </w:rPr>
        <w:t>defined a</w:t>
      </w:r>
      <w:r w:rsidR="006173CA">
        <w:rPr>
          <w:rFonts w:ascii="Times New Roman" w:hAnsi="Times New Roman" w:cs="Times New Roman"/>
        </w:rPr>
        <w:t>s</w:t>
      </w:r>
      <w:r w:rsidR="002E00BB">
        <w:rPr>
          <w:rFonts w:ascii="Times New Roman" w:hAnsi="Times New Roman" w:cs="Times New Roman"/>
        </w:rPr>
        <w:t xml:space="preserve"> </w:t>
      </w:r>
      <w:r w:rsidR="002E00BB" w:rsidRPr="006F43BB">
        <w:rPr>
          <w:rFonts w:ascii="Times New Roman" w:hAnsi="Times New Roman" w:cs="Times New Roman"/>
        </w:rPr>
        <w:t xml:space="preserve">beyond the geographic limits of </w:t>
      </w:r>
      <w:r w:rsidR="002E00BB">
        <w:rPr>
          <w:rFonts w:ascii="Times New Roman" w:hAnsi="Times New Roman" w:cs="Times New Roman"/>
        </w:rPr>
        <w:t>a particular</w:t>
      </w:r>
      <w:r w:rsidR="002E00BB" w:rsidRPr="006F43BB">
        <w:rPr>
          <w:rFonts w:ascii="Times New Roman" w:hAnsi="Times New Roman" w:cs="Times New Roman"/>
        </w:rPr>
        <w:t xml:space="preserve"> jurisdiction.</w:t>
      </w:r>
      <w:r w:rsidR="002E00BB" w:rsidRPr="006F43BB">
        <w:rPr>
          <w:rStyle w:val="FootnoteReference"/>
          <w:rFonts w:ascii="Times New Roman" w:hAnsi="Times New Roman" w:cs="Times New Roman"/>
        </w:rPr>
        <w:footnoteReference w:id="9"/>
      </w:r>
      <w:r w:rsidR="002E00BB" w:rsidRPr="006F43BB">
        <w:rPr>
          <w:rFonts w:ascii="Times New Roman" w:hAnsi="Times New Roman" w:cs="Times New Roman"/>
        </w:rPr>
        <w:t xml:space="preserve"> </w:t>
      </w:r>
      <w:r>
        <w:rPr>
          <w:rFonts w:ascii="Times New Roman" w:hAnsi="Times New Roman" w:cs="Times New Roman"/>
        </w:rPr>
        <w:t>With respect to airspace, e</w:t>
      </w:r>
      <w:r w:rsidR="002E00BB">
        <w:rPr>
          <w:rFonts w:ascii="Times New Roman" w:hAnsi="Times New Roman" w:cs="Times New Roman"/>
        </w:rPr>
        <w:t xml:space="preserve">ach State exercises sovereignty over its airspace.  This principle is codified in Article </w:t>
      </w:r>
      <w:r w:rsidR="008B0D03">
        <w:rPr>
          <w:rFonts w:ascii="Times New Roman" w:hAnsi="Times New Roman" w:cs="Times New Roman"/>
        </w:rPr>
        <w:t>I</w:t>
      </w:r>
      <w:r w:rsidR="002E00BB">
        <w:rPr>
          <w:rFonts w:ascii="Times New Roman" w:hAnsi="Times New Roman" w:cs="Times New Roman"/>
        </w:rPr>
        <w:t xml:space="preserve"> of the Chicago Convention, to which 190 states are currently Contracting Parties, including all the Member States of the EU</w:t>
      </w:r>
      <w:r>
        <w:rPr>
          <w:rFonts w:ascii="Times New Roman" w:hAnsi="Times New Roman" w:cs="Times New Roman"/>
        </w:rPr>
        <w:t>.</w:t>
      </w:r>
      <w:r>
        <w:rPr>
          <w:rStyle w:val="FootnoteReference"/>
          <w:rFonts w:ascii="Times New Roman" w:hAnsi="Times New Roman" w:cs="Times New Roman"/>
        </w:rPr>
        <w:footnoteReference w:id="10"/>
      </w:r>
      <w:r>
        <w:rPr>
          <w:rFonts w:ascii="Times New Roman" w:hAnsi="Times New Roman" w:cs="Times New Roman"/>
        </w:rPr>
        <w:t xml:space="preserve">  The International Court of justice has also </w:t>
      </w:r>
      <w:proofErr w:type="gramStart"/>
      <w:r>
        <w:rPr>
          <w:rFonts w:ascii="Times New Roman" w:hAnsi="Times New Roman" w:cs="Times New Roman"/>
        </w:rPr>
        <w:t>recognized,</w:t>
      </w:r>
      <w:proofErr w:type="gramEnd"/>
      <w:r>
        <w:rPr>
          <w:rFonts w:ascii="Times New Roman" w:hAnsi="Times New Roman" w:cs="Times New Roman"/>
        </w:rPr>
        <w:t xml:space="preserve"> that the rule of international law </w:t>
      </w:r>
      <w:r w:rsidR="008B0D03">
        <w:rPr>
          <w:rFonts w:ascii="Times New Roman" w:hAnsi="Times New Roman" w:cs="Times New Roman"/>
        </w:rPr>
        <w:t>expressed in Article I</w:t>
      </w:r>
      <w:r>
        <w:rPr>
          <w:rFonts w:ascii="Times New Roman" w:hAnsi="Times New Roman" w:cs="Times New Roman"/>
        </w:rPr>
        <w:t xml:space="preserve"> </w:t>
      </w:r>
      <w:r w:rsidR="008B0D03">
        <w:rPr>
          <w:rFonts w:ascii="Times New Roman" w:hAnsi="Times New Roman" w:cs="Times New Roman"/>
        </w:rPr>
        <w:t xml:space="preserve">of the </w:t>
      </w:r>
      <w:r>
        <w:rPr>
          <w:rFonts w:ascii="Times New Roman" w:hAnsi="Times New Roman" w:cs="Times New Roman"/>
        </w:rPr>
        <w:t>Chicago Convention merely expresses an established and longstanding principle of international law.</w:t>
      </w:r>
      <w:r>
        <w:rPr>
          <w:rStyle w:val="FootnoteReference"/>
          <w:rFonts w:ascii="Times New Roman" w:hAnsi="Times New Roman" w:cs="Times New Roman"/>
        </w:rPr>
        <w:footnoteReference w:id="11"/>
      </w:r>
      <w:r>
        <w:rPr>
          <w:rFonts w:ascii="Times New Roman" w:hAnsi="Times New Roman" w:cs="Times New Roman"/>
        </w:rPr>
        <w:t xml:space="preserve">  Therefore, the regulation of conduct that occurs over the airspace over a third country is</w:t>
      </w:r>
      <w:r w:rsidR="006173CA">
        <w:rPr>
          <w:rFonts w:ascii="Times New Roman" w:hAnsi="Times New Roman" w:cs="Times New Roman"/>
        </w:rPr>
        <w:t xml:space="preserve"> </w:t>
      </w:r>
      <w:proofErr w:type="gramStart"/>
      <w:r>
        <w:rPr>
          <w:rFonts w:ascii="Times New Roman" w:hAnsi="Times New Roman" w:cs="Times New Roman"/>
        </w:rPr>
        <w:t>extraterritorial</w:t>
      </w:r>
      <w:proofErr w:type="gramEnd"/>
      <w:r>
        <w:rPr>
          <w:rFonts w:ascii="Times New Roman" w:hAnsi="Times New Roman" w:cs="Times New Roman"/>
        </w:rPr>
        <w:t xml:space="preserve">. </w:t>
      </w:r>
    </w:p>
    <w:p w:rsidR="005D02A4" w:rsidRDefault="00772E55" w:rsidP="006048C2">
      <w:pPr>
        <w:pStyle w:val="NoSpacing"/>
        <w:spacing w:line="480" w:lineRule="auto"/>
        <w:ind w:firstLine="720"/>
        <w:rPr>
          <w:rFonts w:ascii="Times New Roman" w:hAnsi="Times New Roman" w:cs="Times New Roman"/>
        </w:rPr>
      </w:pPr>
      <w:r>
        <w:rPr>
          <w:rFonts w:ascii="Times New Roman" w:hAnsi="Times New Roman" w:cs="Times New Roman"/>
        </w:rPr>
        <w:t>Similarly</w:t>
      </w:r>
      <w:r w:rsidR="008359A4">
        <w:rPr>
          <w:rFonts w:ascii="Times New Roman" w:hAnsi="Times New Roman" w:cs="Times New Roman"/>
        </w:rPr>
        <w:t xml:space="preserve">, </w:t>
      </w:r>
      <w:r>
        <w:rPr>
          <w:rFonts w:ascii="Times New Roman" w:hAnsi="Times New Roman" w:cs="Times New Roman"/>
        </w:rPr>
        <w:t>freedom of the high seas is an internationally recognized principle</w:t>
      </w:r>
      <w:r w:rsidR="008B0D03">
        <w:rPr>
          <w:rFonts w:ascii="Times New Roman" w:hAnsi="Times New Roman" w:cs="Times New Roman"/>
        </w:rPr>
        <w:t xml:space="preserve">.  It is a </w:t>
      </w:r>
      <w:r>
        <w:rPr>
          <w:rFonts w:ascii="Times New Roman" w:hAnsi="Times New Roman" w:cs="Times New Roman"/>
        </w:rPr>
        <w:t>principle has been recognized at least since the early 20</w:t>
      </w:r>
      <w:r w:rsidRPr="00772E55">
        <w:rPr>
          <w:rFonts w:ascii="Times New Roman" w:hAnsi="Times New Roman" w:cs="Times New Roman"/>
          <w:vertAlign w:val="superscript"/>
        </w:rPr>
        <w:t>th</w:t>
      </w:r>
      <w:r>
        <w:rPr>
          <w:rFonts w:ascii="Times New Roman" w:hAnsi="Times New Roman" w:cs="Times New Roman"/>
        </w:rPr>
        <w:t xml:space="preserve"> Century.</w:t>
      </w:r>
      <w:r w:rsidR="008B0D03">
        <w:rPr>
          <w:rStyle w:val="FootnoteReference"/>
          <w:rFonts w:ascii="Times New Roman" w:hAnsi="Times New Roman" w:cs="Times New Roman"/>
        </w:rPr>
        <w:footnoteReference w:id="12"/>
      </w:r>
      <w:r w:rsidR="008B0D03">
        <w:rPr>
          <w:rFonts w:ascii="Times New Roman" w:hAnsi="Times New Roman" w:cs="Times New Roman"/>
        </w:rPr>
        <w:t xml:space="preserve"> The principle that no s</w:t>
      </w:r>
      <w:r>
        <w:rPr>
          <w:rFonts w:ascii="Times New Roman" w:hAnsi="Times New Roman" w:cs="Times New Roman"/>
        </w:rPr>
        <w:t xml:space="preserve">tate may validly purpose to subject any part of the high seas to its sovereignty was codified in the first sentence of Article 2 of the Convention on the High Seas.  It was later introduced into Article 89 of the Convention on the Law of the Sea.  There are 162 Contracting Parties to the Convention on the Law of the Sea including </w:t>
      </w:r>
      <w:r w:rsidR="008B0D03">
        <w:rPr>
          <w:rFonts w:ascii="Times New Roman" w:hAnsi="Times New Roman" w:cs="Times New Roman"/>
        </w:rPr>
        <w:t>all states in the EU.  T</w:t>
      </w:r>
      <w:r w:rsidR="006173CA">
        <w:rPr>
          <w:rFonts w:ascii="Times New Roman" w:hAnsi="Times New Roman" w:cs="Times New Roman"/>
        </w:rPr>
        <w:t>hese</w:t>
      </w:r>
      <w:r>
        <w:rPr>
          <w:rFonts w:ascii="Times New Roman" w:hAnsi="Times New Roman" w:cs="Times New Roman"/>
        </w:rPr>
        <w:t xml:space="preserve"> </w:t>
      </w:r>
      <w:r w:rsidR="006173CA">
        <w:rPr>
          <w:rFonts w:ascii="Times New Roman" w:hAnsi="Times New Roman" w:cs="Times New Roman"/>
        </w:rPr>
        <w:t>conventions</w:t>
      </w:r>
      <w:r w:rsidR="008B0D03">
        <w:rPr>
          <w:rFonts w:ascii="Times New Roman" w:hAnsi="Times New Roman" w:cs="Times New Roman"/>
        </w:rPr>
        <w:t xml:space="preserve"> and their widespread ratification</w:t>
      </w:r>
      <w:r w:rsidR="006173CA">
        <w:rPr>
          <w:rFonts w:ascii="Times New Roman" w:hAnsi="Times New Roman" w:cs="Times New Roman"/>
        </w:rPr>
        <w:t xml:space="preserve"> </w:t>
      </w:r>
      <w:r>
        <w:rPr>
          <w:rFonts w:ascii="Times New Roman" w:hAnsi="Times New Roman" w:cs="Times New Roman"/>
        </w:rPr>
        <w:t xml:space="preserve">can be considered </w:t>
      </w:r>
      <w:r w:rsidR="006173CA">
        <w:rPr>
          <w:rFonts w:ascii="Times New Roman" w:hAnsi="Times New Roman" w:cs="Times New Roman"/>
        </w:rPr>
        <w:t>as codifying this principle of customary</w:t>
      </w:r>
      <w:r>
        <w:rPr>
          <w:rFonts w:ascii="Times New Roman" w:hAnsi="Times New Roman" w:cs="Times New Roman"/>
        </w:rPr>
        <w:t xml:space="preserve"> international law</w:t>
      </w:r>
      <w:r w:rsidR="008B0D03">
        <w:rPr>
          <w:rFonts w:ascii="Times New Roman" w:hAnsi="Times New Roman" w:cs="Times New Roman"/>
        </w:rPr>
        <w:t>.</w:t>
      </w:r>
      <w:r>
        <w:rPr>
          <w:rStyle w:val="FootnoteReference"/>
          <w:rFonts w:ascii="Times New Roman" w:hAnsi="Times New Roman" w:cs="Times New Roman"/>
        </w:rPr>
        <w:footnoteReference w:id="13"/>
      </w:r>
      <w:r w:rsidR="008B0D03">
        <w:rPr>
          <w:rFonts w:ascii="Times New Roman" w:hAnsi="Times New Roman" w:cs="Times New Roman"/>
        </w:rPr>
        <w:t xml:space="preserve">   In addition to this principle of customary international law, jurisdiction over the high seas</w:t>
      </w:r>
      <w:r w:rsidR="00295786">
        <w:rPr>
          <w:rFonts w:ascii="Times New Roman" w:hAnsi="Times New Roman" w:cs="Times New Roman"/>
        </w:rPr>
        <w:t>, for the purposes of civil aviation,</w:t>
      </w:r>
      <w:r w:rsidR="008B0D03">
        <w:rPr>
          <w:rFonts w:ascii="Times New Roman" w:hAnsi="Times New Roman" w:cs="Times New Roman"/>
        </w:rPr>
        <w:t xml:space="preserve"> is the vested in the International Civil </w:t>
      </w:r>
      <w:r w:rsidR="00295786">
        <w:rPr>
          <w:rFonts w:ascii="Times New Roman" w:hAnsi="Times New Roman" w:cs="Times New Roman"/>
        </w:rPr>
        <w:t>Aviation Organization (ICAO) under Article XII of the Chicago Convention.  Although the EU is not a not a contracting p</w:t>
      </w:r>
      <w:r w:rsidR="005B2407">
        <w:rPr>
          <w:rFonts w:ascii="Times New Roman" w:hAnsi="Times New Roman" w:cs="Times New Roman"/>
        </w:rPr>
        <w:t>arty to the convention, all EU Member S</w:t>
      </w:r>
      <w:r w:rsidR="00295786">
        <w:rPr>
          <w:rFonts w:ascii="Times New Roman" w:hAnsi="Times New Roman" w:cs="Times New Roman"/>
        </w:rPr>
        <w:t>tates are parties to the convention.</w:t>
      </w:r>
      <w:r w:rsidR="00295786">
        <w:rPr>
          <w:rStyle w:val="FootnoteReference"/>
          <w:rFonts w:ascii="Times New Roman" w:hAnsi="Times New Roman" w:cs="Times New Roman"/>
        </w:rPr>
        <w:footnoteReference w:id="14"/>
      </w:r>
      <w:r w:rsidR="00295786">
        <w:rPr>
          <w:rFonts w:ascii="Times New Roman" w:hAnsi="Times New Roman" w:cs="Times New Roman"/>
        </w:rPr>
        <w:t xml:space="preserve">  Therefore, under international law, the only organization that can regulate conduct over the high seas is ICAO</w:t>
      </w:r>
      <w:r w:rsidR="00EC6014">
        <w:rPr>
          <w:rFonts w:ascii="Times New Roman" w:hAnsi="Times New Roman" w:cs="Times New Roman"/>
        </w:rPr>
        <w:t xml:space="preserve">; and any regulation of conduct over the high seas by state would be </w:t>
      </w:r>
      <w:proofErr w:type="gramStart"/>
      <w:r w:rsidR="00EC6014">
        <w:rPr>
          <w:rFonts w:ascii="Times New Roman" w:hAnsi="Times New Roman" w:cs="Times New Roman"/>
        </w:rPr>
        <w:t>extraterritorial</w:t>
      </w:r>
      <w:proofErr w:type="gramEnd"/>
      <w:r w:rsidR="00EC6014">
        <w:rPr>
          <w:rFonts w:ascii="Times New Roman" w:hAnsi="Times New Roman" w:cs="Times New Roman"/>
        </w:rPr>
        <w:t>.</w:t>
      </w:r>
    </w:p>
    <w:p w:rsidR="00B35D67" w:rsidRDefault="005E33A3" w:rsidP="006048C2">
      <w:pPr>
        <w:pStyle w:val="NoSpacing"/>
        <w:spacing w:line="480" w:lineRule="auto"/>
        <w:ind w:firstLine="720"/>
        <w:rPr>
          <w:rFonts w:ascii="Times New Roman" w:hAnsi="Times New Roman" w:cs="Times New Roman"/>
        </w:rPr>
      </w:pPr>
      <w:r>
        <w:rPr>
          <w:rFonts w:ascii="Times New Roman" w:hAnsi="Times New Roman" w:cs="Times New Roman"/>
        </w:rPr>
        <w:t xml:space="preserve">The fact that a law or regulation </w:t>
      </w:r>
      <w:r w:rsidR="002B070C">
        <w:rPr>
          <w:rFonts w:ascii="Times New Roman" w:hAnsi="Times New Roman" w:cs="Times New Roman"/>
        </w:rPr>
        <w:t>regulates or takes</w:t>
      </w:r>
      <w:r>
        <w:rPr>
          <w:rFonts w:ascii="Times New Roman" w:hAnsi="Times New Roman" w:cs="Times New Roman"/>
        </w:rPr>
        <w:t xml:space="preserve"> account of conduct that occurs outside its territorial jurisdiction does not per se mean the law is contrary principles of international law and sovereignty.  </w:t>
      </w:r>
      <w:r w:rsidRPr="005E33A3">
        <w:rPr>
          <w:rFonts w:ascii="Times New Roman" w:hAnsi="Times New Roman" w:cs="Times New Roman"/>
        </w:rPr>
        <w:t>States routinely pass laws and engage conduct that impacts the behavior of others outside their sovereignty.  Specifically, the US and EU have, on many occasions, applied economic laws and their antitrust laws in particular, to conduct occurring outside their borders</w:t>
      </w:r>
      <w:r w:rsidR="002B070C">
        <w:rPr>
          <w:rFonts w:ascii="Times New Roman" w:hAnsi="Times New Roman" w:cs="Times New Roman"/>
        </w:rPr>
        <w:t xml:space="preserve"> but affecting their economies.</w:t>
      </w:r>
      <w:r w:rsidR="002B070C">
        <w:rPr>
          <w:rStyle w:val="FootnoteReference"/>
          <w:rFonts w:ascii="Times New Roman" w:hAnsi="Times New Roman" w:cs="Times New Roman"/>
        </w:rPr>
        <w:footnoteReference w:id="15"/>
      </w:r>
      <w:r w:rsidR="002B070C">
        <w:rPr>
          <w:rFonts w:ascii="Times New Roman" w:hAnsi="Times New Roman" w:cs="Times New Roman"/>
        </w:rPr>
        <w:t xml:space="preserve">  In </w:t>
      </w:r>
      <w:r w:rsidR="006173CA">
        <w:rPr>
          <w:rFonts w:ascii="Times New Roman" w:hAnsi="Times New Roman" w:cs="Times New Roman"/>
        </w:rPr>
        <w:t>regulating extraterritorial acts</w:t>
      </w:r>
      <w:r w:rsidR="00B47CF5">
        <w:rPr>
          <w:rFonts w:ascii="Times New Roman" w:hAnsi="Times New Roman" w:cs="Times New Roman"/>
        </w:rPr>
        <w:t xml:space="preserve">, legal scholars have articulated the </w:t>
      </w:r>
      <w:r w:rsidR="00264E36">
        <w:rPr>
          <w:rFonts w:ascii="Times New Roman" w:hAnsi="Times New Roman" w:cs="Times New Roman"/>
        </w:rPr>
        <w:t xml:space="preserve">following </w:t>
      </w:r>
      <w:r w:rsidR="0077110B">
        <w:rPr>
          <w:rFonts w:ascii="Times New Roman" w:hAnsi="Times New Roman" w:cs="Times New Roman"/>
        </w:rPr>
        <w:t xml:space="preserve">principles </w:t>
      </w:r>
      <w:r w:rsidR="00B47CF5">
        <w:rPr>
          <w:rFonts w:ascii="Times New Roman" w:hAnsi="Times New Roman" w:cs="Times New Roman"/>
        </w:rPr>
        <w:t xml:space="preserve">that should be </w:t>
      </w:r>
      <w:r w:rsidR="0077110B">
        <w:rPr>
          <w:rFonts w:ascii="Times New Roman" w:hAnsi="Times New Roman" w:cs="Times New Roman"/>
        </w:rPr>
        <w:t>observed</w:t>
      </w:r>
      <w:r w:rsidR="00340104">
        <w:rPr>
          <w:rFonts w:ascii="Times New Roman" w:hAnsi="Times New Roman" w:cs="Times New Roman"/>
        </w:rPr>
        <w:t xml:space="preserve">.  </w:t>
      </w:r>
      <w:r w:rsidR="00B35D67" w:rsidRPr="00B35D67">
        <w:rPr>
          <w:rFonts w:ascii="Times New Roman" w:hAnsi="Times New Roman" w:cs="Times New Roman"/>
        </w:rPr>
        <w:t xml:space="preserve"> </w:t>
      </w:r>
    </w:p>
    <w:p w:rsidR="00B35D67" w:rsidRDefault="00B35D67" w:rsidP="006048C2">
      <w:pPr>
        <w:pStyle w:val="NoSpacing"/>
        <w:ind w:left="720"/>
        <w:rPr>
          <w:rFonts w:ascii="Times New Roman" w:hAnsi="Times New Roman" w:cs="Times New Roman"/>
        </w:rPr>
      </w:pPr>
      <w:r w:rsidRPr="00B35D67">
        <w:rPr>
          <w:rFonts w:ascii="Times New Roman" w:hAnsi="Times New Roman" w:cs="Times New Roman"/>
        </w:rPr>
        <w:t>(</w:t>
      </w:r>
      <w:proofErr w:type="spellStart"/>
      <w:r w:rsidRPr="00B35D67">
        <w:rPr>
          <w:rFonts w:ascii="Times New Roman" w:hAnsi="Times New Roman" w:cs="Times New Roman"/>
        </w:rPr>
        <w:t>i</w:t>
      </w:r>
      <w:proofErr w:type="spellEnd"/>
      <w:r w:rsidRPr="00B35D67">
        <w:rPr>
          <w:rFonts w:ascii="Times New Roman" w:hAnsi="Times New Roman" w:cs="Times New Roman"/>
        </w:rPr>
        <w:t xml:space="preserve">) </w:t>
      </w:r>
      <w:proofErr w:type="gramStart"/>
      <w:r w:rsidRPr="00B35D67">
        <w:rPr>
          <w:rFonts w:ascii="Times New Roman" w:hAnsi="Times New Roman" w:cs="Times New Roman"/>
        </w:rPr>
        <w:t>that</w:t>
      </w:r>
      <w:proofErr w:type="gramEnd"/>
      <w:r w:rsidRPr="00B35D67">
        <w:rPr>
          <w:rFonts w:ascii="Times New Roman" w:hAnsi="Times New Roman" w:cs="Times New Roman"/>
        </w:rPr>
        <w:t xml:space="preserve"> there should be a substantial and </w:t>
      </w:r>
      <w:r w:rsidRPr="006173CA">
        <w:rPr>
          <w:rFonts w:ascii="Times New Roman" w:hAnsi="Times New Roman" w:cs="Times New Roman"/>
          <w:i/>
        </w:rPr>
        <w:t>bona fide</w:t>
      </w:r>
      <w:r w:rsidRPr="00B35D67">
        <w:rPr>
          <w:rFonts w:ascii="Times New Roman" w:hAnsi="Times New Roman" w:cs="Times New Roman"/>
        </w:rPr>
        <w:t xml:space="preserve"> connection between the subject matter and the source of the jurisdiction; </w:t>
      </w:r>
    </w:p>
    <w:p w:rsidR="006048C2" w:rsidRDefault="006048C2" w:rsidP="006048C2">
      <w:pPr>
        <w:pStyle w:val="NoSpacing"/>
        <w:ind w:left="720"/>
        <w:rPr>
          <w:rFonts w:ascii="Times New Roman" w:hAnsi="Times New Roman" w:cs="Times New Roman"/>
        </w:rPr>
      </w:pPr>
    </w:p>
    <w:p w:rsidR="00B35D67" w:rsidRDefault="00B35D67" w:rsidP="006048C2">
      <w:pPr>
        <w:pStyle w:val="NoSpacing"/>
        <w:ind w:left="720"/>
        <w:rPr>
          <w:rFonts w:ascii="Times New Roman" w:hAnsi="Times New Roman" w:cs="Times New Roman"/>
        </w:rPr>
      </w:pPr>
      <w:r w:rsidRPr="00B35D67">
        <w:rPr>
          <w:rFonts w:ascii="Times New Roman" w:hAnsi="Times New Roman" w:cs="Times New Roman"/>
        </w:rPr>
        <w:t xml:space="preserve">(ii) </w:t>
      </w:r>
      <w:proofErr w:type="gramStart"/>
      <w:r w:rsidRPr="00B35D67">
        <w:rPr>
          <w:rFonts w:ascii="Times New Roman" w:hAnsi="Times New Roman" w:cs="Times New Roman"/>
        </w:rPr>
        <w:t>that</w:t>
      </w:r>
      <w:proofErr w:type="gramEnd"/>
      <w:r w:rsidRPr="00B35D67">
        <w:rPr>
          <w:rFonts w:ascii="Times New Roman" w:hAnsi="Times New Roman" w:cs="Times New Roman"/>
        </w:rPr>
        <w:t xml:space="preserve"> the principle of non-intervention in the domestic or territorial jurisdiction of other states should be observed; </w:t>
      </w:r>
    </w:p>
    <w:p w:rsidR="006048C2" w:rsidRDefault="006048C2" w:rsidP="006048C2">
      <w:pPr>
        <w:pStyle w:val="NoSpacing"/>
        <w:ind w:left="720"/>
        <w:rPr>
          <w:rFonts w:ascii="Times New Roman" w:hAnsi="Times New Roman" w:cs="Times New Roman"/>
        </w:rPr>
      </w:pPr>
    </w:p>
    <w:p w:rsidR="005D02A4" w:rsidRDefault="00B35D67" w:rsidP="006048C2">
      <w:pPr>
        <w:pStyle w:val="NoSpacing"/>
        <w:ind w:left="720"/>
        <w:rPr>
          <w:rFonts w:ascii="Times New Roman" w:hAnsi="Times New Roman" w:cs="Times New Roman"/>
        </w:rPr>
      </w:pPr>
      <w:r w:rsidRPr="00B35D67">
        <w:rPr>
          <w:rFonts w:ascii="Times New Roman" w:hAnsi="Times New Roman" w:cs="Times New Roman"/>
        </w:rPr>
        <w:t xml:space="preserve">(iii) </w:t>
      </w:r>
      <w:proofErr w:type="gramStart"/>
      <w:r w:rsidRPr="00B35D67">
        <w:rPr>
          <w:rFonts w:ascii="Times New Roman" w:hAnsi="Times New Roman" w:cs="Times New Roman"/>
        </w:rPr>
        <w:t>that</w:t>
      </w:r>
      <w:proofErr w:type="gramEnd"/>
      <w:r w:rsidRPr="00B35D67">
        <w:rPr>
          <w:rFonts w:ascii="Times New Roman" w:hAnsi="Times New Roman" w:cs="Times New Roman"/>
        </w:rPr>
        <w:t xml:space="preserve"> a principle based on elements of accommodation, mutuality and proportionality should be applied . . </w:t>
      </w:r>
      <w:r w:rsidR="0077110B">
        <w:rPr>
          <w:rFonts w:ascii="Times New Roman" w:hAnsi="Times New Roman" w:cs="Times New Roman"/>
        </w:rPr>
        <w:t>.</w:t>
      </w:r>
      <w:r w:rsidR="00151AD1">
        <w:rPr>
          <w:rStyle w:val="FootnoteReference"/>
          <w:rFonts w:ascii="Times New Roman" w:hAnsi="Times New Roman" w:cs="Times New Roman"/>
        </w:rPr>
        <w:footnoteReference w:id="16"/>
      </w:r>
    </w:p>
    <w:p w:rsidR="00340104" w:rsidRDefault="00340104" w:rsidP="006048C2">
      <w:pPr>
        <w:pStyle w:val="NoSpacing"/>
        <w:spacing w:line="480" w:lineRule="auto"/>
        <w:rPr>
          <w:rFonts w:ascii="Times New Roman" w:hAnsi="Times New Roman" w:cs="Times New Roman"/>
        </w:rPr>
      </w:pPr>
    </w:p>
    <w:p w:rsidR="000E6BC5" w:rsidRDefault="00B47CF5" w:rsidP="006048C2">
      <w:pPr>
        <w:pStyle w:val="NoSpacing"/>
        <w:spacing w:line="480" w:lineRule="auto"/>
        <w:ind w:firstLine="720"/>
        <w:rPr>
          <w:rFonts w:ascii="Times New Roman" w:hAnsi="Times New Roman" w:cs="Times New Roman"/>
        </w:rPr>
      </w:pPr>
      <w:r>
        <w:rPr>
          <w:rFonts w:ascii="Times New Roman" w:hAnsi="Times New Roman" w:cs="Times New Roman"/>
        </w:rPr>
        <w:t>Additionally,</w:t>
      </w:r>
      <w:r w:rsidR="004126F4">
        <w:rPr>
          <w:rFonts w:ascii="Times New Roman" w:hAnsi="Times New Roman" w:cs="Times New Roman"/>
        </w:rPr>
        <w:t xml:space="preserve"> </w:t>
      </w:r>
      <w:r>
        <w:rPr>
          <w:rFonts w:ascii="Times New Roman" w:hAnsi="Times New Roman" w:cs="Times New Roman"/>
        </w:rPr>
        <w:t xml:space="preserve">the </w:t>
      </w:r>
      <w:r w:rsidR="00340104" w:rsidRPr="006F43BB">
        <w:rPr>
          <w:rFonts w:ascii="Times New Roman" w:hAnsi="Times New Roman" w:cs="Times New Roman"/>
        </w:rPr>
        <w:t>Restatement of United States Foreign Relations L</w:t>
      </w:r>
      <w:r w:rsidR="000E6BC5">
        <w:rPr>
          <w:rFonts w:ascii="Times New Roman" w:hAnsi="Times New Roman" w:cs="Times New Roman"/>
        </w:rPr>
        <w:t>aw (Third) also</w:t>
      </w:r>
      <w:r>
        <w:rPr>
          <w:rFonts w:ascii="Times New Roman" w:hAnsi="Times New Roman" w:cs="Times New Roman"/>
        </w:rPr>
        <w:t xml:space="preserve"> addresses the issue of when a s</w:t>
      </w:r>
      <w:r w:rsidR="000E6BC5">
        <w:rPr>
          <w:rFonts w:ascii="Times New Roman" w:hAnsi="Times New Roman" w:cs="Times New Roman"/>
        </w:rPr>
        <w:t>tate has jurisdiction to prescribe a law or regulation for conduct occurring outside of its territory</w:t>
      </w:r>
      <w:r w:rsidR="00340104" w:rsidRPr="006F43BB">
        <w:rPr>
          <w:rFonts w:ascii="Times New Roman" w:hAnsi="Times New Roman" w:cs="Times New Roman"/>
        </w:rPr>
        <w:t>.</w:t>
      </w:r>
      <w:r w:rsidR="000E6BC5">
        <w:rPr>
          <w:rFonts w:ascii="Times New Roman" w:hAnsi="Times New Roman" w:cs="Times New Roman"/>
        </w:rPr>
        <w:t xml:space="preserve"> Section 403</w:t>
      </w:r>
      <w:r w:rsidR="00BB72C5">
        <w:rPr>
          <w:rFonts w:ascii="Times New Roman" w:hAnsi="Times New Roman" w:cs="Times New Roman"/>
        </w:rPr>
        <w:t xml:space="preserve"> of the Restatement</w:t>
      </w:r>
      <w:r w:rsidR="000E6BC5">
        <w:rPr>
          <w:rFonts w:ascii="Times New Roman" w:hAnsi="Times New Roman" w:cs="Times New Roman"/>
        </w:rPr>
        <w:t xml:space="preserve"> provides </w:t>
      </w:r>
      <w:r w:rsidR="000E6BC5" w:rsidRPr="000E6BC5">
        <w:rPr>
          <w:rFonts w:ascii="Times New Roman" w:hAnsi="Times New Roman" w:cs="Times New Roman"/>
        </w:rPr>
        <w:t>a state has jurisdiction to prescribe law with respect to</w:t>
      </w:r>
      <w:r w:rsidR="000E6BC5">
        <w:rPr>
          <w:rFonts w:ascii="Times New Roman" w:hAnsi="Times New Roman" w:cs="Times New Roman"/>
        </w:rPr>
        <w:t xml:space="preserve"> the following:</w:t>
      </w:r>
    </w:p>
    <w:p w:rsidR="00342912" w:rsidRPr="006048C2" w:rsidRDefault="000E6BC5" w:rsidP="006048C2">
      <w:pPr>
        <w:pStyle w:val="NoSpacing"/>
        <w:numPr>
          <w:ilvl w:val="0"/>
          <w:numId w:val="4"/>
        </w:numPr>
        <w:spacing w:line="480" w:lineRule="auto"/>
        <w:rPr>
          <w:rFonts w:ascii="Times New Roman" w:hAnsi="Times New Roman" w:cs="Times New Roman"/>
        </w:rPr>
      </w:pPr>
      <w:r w:rsidRPr="000E6BC5">
        <w:rPr>
          <w:rFonts w:ascii="Times New Roman" w:hAnsi="Times New Roman" w:cs="Times New Roman"/>
        </w:rPr>
        <w:t>conduct that, wholly or in substantial part, takes place within its territory;</w:t>
      </w:r>
    </w:p>
    <w:p w:rsidR="00342912" w:rsidRPr="006048C2" w:rsidRDefault="000E6BC5" w:rsidP="006048C2">
      <w:pPr>
        <w:pStyle w:val="NoSpacing"/>
        <w:numPr>
          <w:ilvl w:val="0"/>
          <w:numId w:val="4"/>
        </w:numPr>
        <w:spacing w:line="480" w:lineRule="auto"/>
        <w:rPr>
          <w:rFonts w:ascii="Times New Roman" w:hAnsi="Times New Roman" w:cs="Times New Roman"/>
        </w:rPr>
      </w:pPr>
      <w:r w:rsidRPr="00342912">
        <w:rPr>
          <w:rFonts w:ascii="Times New Roman" w:hAnsi="Times New Roman" w:cs="Times New Roman"/>
        </w:rPr>
        <w:t>the status of persons, or interests in things, present within its territory;</w:t>
      </w:r>
    </w:p>
    <w:p w:rsidR="00340104" w:rsidRDefault="000E6BC5" w:rsidP="006048C2">
      <w:pPr>
        <w:pStyle w:val="NoSpacing"/>
        <w:numPr>
          <w:ilvl w:val="0"/>
          <w:numId w:val="4"/>
        </w:numPr>
        <w:rPr>
          <w:rFonts w:ascii="Times New Roman" w:hAnsi="Times New Roman" w:cs="Times New Roman"/>
        </w:rPr>
      </w:pPr>
      <w:proofErr w:type="gramStart"/>
      <w:r w:rsidRPr="00342912">
        <w:rPr>
          <w:rFonts w:ascii="Times New Roman" w:hAnsi="Times New Roman" w:cs="Times New Roman"/>
        </w:rPr>
        <w:t>conduct</w:t>
      </w:r>
      <w:proofErr w:type="gramEnd"/>
      <w:r w:rsidRPr="00342912">
        <w:rPr>
          <w:rFonts w:ascii="Times New Roman" w:hAnsi="Times New Roman" w:cs="Times New Roman"/>
        </w:rPr>
        <w:t xml:space="preserve"> outside its territory that </w:t>
      </w:r>
      <w:r w:rsidRPr="00342912">
        <w:rPr>
          <w:rFonts w:ascii="Times New Roman" w:hAnsi="Times New Roman" w:cs="Times New Roman"/>
          <w:i/>
        </w:rPr>
        <w:t>has</w:t>
      </w:r>
      <w:r w:rsidRPr="00342912">
        <w:rPr>
          <w:rFonts w:ascii="Times New Roman" w:hAnsi="Times New Roman" w:cs="Times New Roman"/>
        </w:rPr>
        <w:t xml:space="preserve"> </w:t>
      </w:r>
      <w:r w:rsidRPr="00342912">
        <w:rPr>
          <w:rFonts w:ascii="Times New Roman" w:hAnsi="Times New Roman" w:cs="Times New Roman"/>
          <w:i/>
        </w:rPr>
        <w:t>or is intended to have</w:t>
      </w:r>
      <w:r w:rsidRPr="00342912">
        <w:rPr>
          <w:rFonts w:ascii="Times New Roman" w:hAnsi="Times New Roman" w:cs="Times New Roman"/>
        </w:rPr>
        <w:t xml:space="preserve"> substantial effect within its territory; (emphasis added).</w:t>
      </w:r>
      <w:r w:rsidR="00340104" w:rsidRPr="006F43BB">
        <w:rPr>
          <w:rStyle w:val="FootnoteReference"/>
          <w:rFonts w:ascii="Times New Roman" w:hAnsi="Times New Roman" w:cs="Times New Roman"/>
        </w:rPr>
        <w:footnoteReference w:id="17"/>
      </w:r>
      <w:r w:rsidR="00340104" w:rsidRPr="00342912">
        <w:rPr>
          <w:rFonts w:ascii="Times New Roman" w:hAnsi="Times New Roman" w:cs="Times New Roman"/>
        </w:rPr>
        <w:t xml:space="preserve">  </w:t>
      </w:r>
    </w:p>
    <w:p w:rsidR="006048C2" w:rsidRPr="006048C2" w:rsidRDefault="006048C2" w:rsidP="006048C2">
      <w:pPr>
        <w:pStyle w:val="NoSpacing"/>
        <w:ind w:left="1440"/>
        <w:rPr>
          <w:rFonts w:ascii="Times New Roman" w:hAnsi="Times New Roman" w:cs="Times New Roman"/>
        </w:rPr>
      </w:pPr>
    </w:p>
    <w:p w:rsidR="00402DF5" w:rsidRPr="006F43BB" w:rsidRDefault="00646274" w:rsidP="006048C2">
      <w:pPr>
        <w:pStyle w:val="NoSpacing"/>
        <w:spacing w:line="480" w:lineRule="auto"/>
        <w:ind w:firstLine="720"/>
        <w:rPr>
          <w:rFonts w:ascii="Times New Roman" w:hAnsi="Times New Roman" w:cs="Times New Roman"/>
        </w:rPr>
      </w:pPr>
      <w:r>
        <w:rPr>
          <w:rFonts w:ascii="Times New Roman" w:hAnsi="Times New Roman" w:cs="Times New Roman"/>
        </w:rPr>
        <w:t>T</w:t>
      </w:r>
      <w:r w:rsidR="000E6BC5" w:rsidRPr="006F43BB">
        <w:rPr>
          <w:rFonts w:ascii="Times New Roman" w:hAnsi="Times New Roman" w:cs="Times New Roman"/>
        </w:rPr>
        <w:t xml:space="preserve">he most significant </w:t>
      </w:r>
      <w:r w:rsidR="000E6BC5">
        <w:rPr>
          <w:rFonts w:ascii="Times New Roman" w:hAnsi="Times New Roman" w:cs="Times New Roman"/>
        </w:rPr>
        <w:t xml:space="preserve">aspect of the Restatement, for this discussion, is that a state is </w:t>
      </w:r>
      <w:r w:rsidR="00BB72C5">
        <w:rPr>
          <w:rFonts w:ascii="Times New Roman" w:hAnsi="Times New Roman" w:cs="Times New Roman"/>
        </w:rPr>
        <w:t>permitted</w:t>
      </w:r>
      <w:r w:rsidR="000E6BC5">
        <w:rPr>
          <w:rFonts w:ascii="Times New Roman" w:hAnsi="Times New Roman" w:cs="Times New Roman"/>
        </w:rPr>
        <w:t xml:space="preserve"> to regulate conduct that has or is intended to have a substantial effect within its territory.  Notably, this rule of law differs from prior jurisprudence</w:t>
      </w:r>
      <w:r w:rsidR="002B070C">
        <w:rPr>
          <w:rFonts w:ascii="Times New Roman" w:hAnsi="Times New Roman" w:cs="Times New Roman"/>
        </w:rPr>
        <w:t>,</w:t>
      </w:r>
      <w:r w:rsidR="000E6BC5">
        <w:rPr>
          <w:rFonts w:ascii="Times New Roman" w:hAnsi="Times New Roman" w:cs="Times New Roman"/>
        </w:rPr>
        <w:t xml:space="preserve"> which required not only that the conduct had an effect in the territorial jurisdiction but also that there was an </w:t>
      </w:r>
      <w:r w:rsidR="000E6BC5" w:rsidRPr="00E8444D">
        <w:rPr>
          <w:rFonts w:ascii="Times New Roman" w:hAnsi="Times New Roman" w:cs="Times New Roman"/>
        </w:rPr>
        <w:t>intended effect</w:t>
      </w:r>
      <w:r w:rsidR="000E6BC5">
        <w:rPr>
          <w:rFonts w:ascii="Times New Roman" w:hAnsi="Times New Roman" w:cs="Times New Roman"/>
        </w:rPr>
        <w:t xml:space="preserve"> within the same jurisdiction.</w:t>
      </w:r>
      <w:r w:rsidR="008E55BF">
        <w:rPr>
          <w:rStyle w:val="FootnoteReference"/>
          <w:rFonts w:ascii="Times New Roman" w:hAnsi="Times New Roman" w:cs="Times New Roman"/>
        </w:rPr>
        <w:footnoteReference w:id="18"/>
      </w:r>
      <w:r w:rsidR="008E55BF">
        <w:rPr>
          <w:rFonts w:ascii="Times New Roman" w:hAnsi="Times New Roman" w:cs="Times New Roman"/>
        </w:rPr>
        <w:t xml:space="preserve">  This is a substantial </w:t>
      </w:r>
      <w:r w:rsidR="00402DF5">
        <w:rPr>
          <w:rFonts w:ascii="Times New Roman" w:hAnsi="Times New Roman" w:cs="Times New Roman"/>
        </w:rPr>
        <w:t xml:space="preserve">change that </w:t>
      </w:r>
      <w:r w:rsidR="008E55BF">
        <w:rPr>
          <w:rFonts w:ascii="Times New Roman" w:hAnsi="Times New Roman" w:cs="Times New Roman"/>
        </w:rPr>
        <w:t>reflects</w:t>
      </w:r>
      <w:r w:rsidR="008E55BF" w:rsidRPr="006F43BB">
        <w:rPr>
          <w:rFonts w:ascii="Times New Roman" w:hAnsi="Times New Roman" w:cs="Times New Roman"/>
        </w:rPr>
        <w:t xml:space="preserve"> </w:t>
      </w:r>
      <w:r w:rsidR="008E55BF">
        <w:rPr>
          <w:rFonts w:ascii="Times New Roman" w:hAnsi="Times New Roman" w:cs="Times New Roman"/>
        </w:rPr>
        <w:t>less</w:t>
      </w:r>
      <w:r w:rsidR="00402DF5">
        <w:rPr>
          <w:rFonts w:ascii="Times New Roman" w:hAnsi="Times New Roman" w:cs="Times New Roman"/>
        </w:rPr>
        <w:t xml:space="preserve"> of an</w:t>
      </w:r>
      <w:r w:rsidR="008E55BF">
        <w:rPr>
          <w:rFonts w:ascii="Times New Roman" w:hAnsi="Times New Roman" w:cs="Times New Roman"/>
        </w:rPr>
        <w:t xml:space="preserve"> </w:t>
      </w:r>
      <w:r w:rsidR="008E55BF" w:rsidRPr="006F43BB">
        <w:rPr>
          <w:rFonts w:ascii="Times New Roman" w:hAnsi="Times New Roman" w:cs="Times New Roman"/>
        </w:rPr>
        <w:t xml:space="preserve">emphasis on territoriality.  Instead, it focuses on elements such as the nature of the activity, the effect on the regulating state, the interests of both the regulating and territorial states, which interests are measured by the amount of regulation generally </w:t>
      </w:r>
      <w:r w:rsidR="00264E36">
        <w:rPr>
          <w:rFonts w:ascii="Times New Roman" w:hAnsi="Times New Roman" w:cs="Times New Roman"/>
        </w:rPr>
        <w:t xml:space="preserve">exercised.  These factors are </w:t>
      </w:r>
      <w:r w:rsidR="008E55BF" w:rsidRPr="006F43BB">
        <w:rPr>
          <w:rFonts w:ascii="Times New Roman" w:hAnsi="Times New Roman" w:cs="Times New Roman"/>
        </w:rPr>
        <w:t xml:space="preserve">difficult to quantify </w:t>
      </w:r>
      <w:r w:rsidR="008E55BF">
        <w:rPr>
          <w:rFonts w:ascii="Times New Roman" w:hAnsi="Times New Roman" w:cs="Times New Roman"/>
        </w:rPr>
        <w:t xml:space="preserve">and </w:t>
      </w:r>
      <w:r w:rsidR="008E55BF" w:rsidRPr="006F43BB">
        <w:rPr>
          <w:rFonts w:ascii="Times New Roman" w:hAnsi="Times New Roman" w:cs="Times New Roman"/>
        </w:rPr>
        <w:t>open the door to a substantially broader interpretation of extraterritorial jurisdiction.</w:t>
      </w:r>
      <w:r w:rsidR="008E55BF" w:rsidRPr="006F43BB">
        <w:rPr>
          <w:rStyle w:val="FootnoteReference"/>
          <w:rFonts w:ascii="Times New Roman" w:hAnsi="Times New Roman" w:cs="Times New Roman"/>
        </w:rPr>
        <w:footnoteReference w:id="19"/>
      </w:r>
    </w:p>
    <w:p w:rsidR="00340104" w:rsidRPr="006F43BB" w:rsidRDefault="00402DF5" w:rsidP="006048C2">
      <w:pPr>
        <w:spacing w:line="480" w:lineRule="auto"/>
        <w:ind w:firstLine="720"/>
        <w:rPr>
          <w:rFonts w:ascii="Times New Roman" w:hAnsi="Times New Roman" w:cs="Times New Roman"/>
        </w:rPr>
      </w:pPr>
      <w:r>
        <w:rPr>
          <w:rFonts w:ascii="Times New Roman" w:hAnsi="Times New Roman" w:cs="Times New Roman"/>
        </w:rPr>
        <w:t xml:space="preserve">This </w:t>
      </w:r>
      <w:r w:rsidR="000E6BC5" w:rsidRPr="006F43BB">
        <w:rPr>
          <w:rFonts w:ascii="Times New Roman" w:hAnsi="Times New Roman" w:cs="Times New Roman"/>
        </w:rPr>
        <w:t>section</w:t>
      </w:r>
      <w:r>
        <w:rPr>
          <w:rFonts w:ascii="Times New Roman" w:hAnsi="Times New Roman" w:cs="Times New Roman"/>
        </w:rPr>
        <w:t xml:space="preserve"> of the Restatement</w:t>
      </w:r>
      <w:r w:rsidR="000E6BC5" w:rsidRPr="006F43BB">
        <w:rPr>
          <w:rFonts w:ascii="Times New Roman" w:hAnsi="Times New Roman" w:cs="Times New Roman"/>
        </w:rPr>
        <w:t xml:space="preserve"> is also referr</w:t>
      </w:r>
      <w:r>
        <w:rPr>
          <w:rFonts w:ascii="Times New Roman" w:hAnsi="Times New Roman" w:cs="Times New Roman"/>
        </w:rPr>
        <w:t>ed to as the “effects principle.”</w:t>
      </w:r>
      <w:r w:rsidR="000E6BC5" w:rsidRPr="006F43BB">
        <w:rPr>
          <w:rStyle w:val="FootnoteReference"/>
          <w:rFonts w:ascii="Times New Roman" w:hAnsi="Times New Roman" w:cs="Times New Roman"/>
        </w:rPr>
        <w:footnoteReference w:id="20"/>
      </w:r>
      <w:r w:rsidRPr="00402DF5">
        <w:t xml:space="preserve"> </w:t>
      </w:r>
      <w:r w:rsidRPr="00402DF5">
        <w:rPr>
          <w:rFonts w:ascii="Times New Roman" w:hAnsi="Times New Roman" w:cs="Times New Roman"/>
        </w:rPr>
        <w:t xml:space="preserve">The effects principle is </w:t>
      </w:r>
      <w:r w:rsidR="002B070C">
        <w:rPr>
          <w:rFonts w:ascii="Times New Roman" w:hAnsi="Times New Roman" w:cs="Times New Roman"/>
        </w:rPr>
        <w:t>generally accepted with respect t</w:t>
      </w:r>
      <w:r>
        <w:rPr>
          <w:rFonts w:ascii="Times New Roman" w:hAnsi="Times New Roman" w:cs="Times New Roman"/>
        </w:rPr>
        <w:t>o acts that have a direct consequence on the regulating jurisdiction.  For example it</w:t>
      </w:r>
      <w:r w:rsidRPr="00402DF5">
        <w:rPr>
          <w:rFonts w:ascii="Times New Roman" w:hAnsi="Times New Roman" w:cs="Times New Roman"/>
        </w:rPr>
        <w:t xml:space="preserve"> is generally accepted with respect to liability for injury in the state from products made outside the state and introduc</w:t>
      </w:r>
      <w:r w:rsidR="00A21E98">
        <w:rPr>
          <w:rFonts w:ascii="Times New Roman" w:hAnsi="Times New Roman" w:cs="Times New Roman"/>
        </w:rPr>
        <w:t xml:space="preserve">ed into its stream of commerce.  </w:t>
      </w:r>
      <w:r w:rsidRPr="00402DF5">
        <w:rPr>
          <w:rFonts w:ascii="Times New Roman" w:hAnsi="Times New Roman" w:cs="Times New Roman"/>
        </w:rPr>
        <w:t xml:space="preserve">Controversy has arisen as a result of economic regulation by the </w:t>
      </w:r>
      <w:r w:rsidR="00264E36">
        <w:rPr>
          <w:rFonts w:ascii="Times New Roman" w:hAnsi="Times New Roman" w:cs="Times New Roman"/>
        </w:rPr>
        <w:t>US</w:t>
      </w:r>
      <w:r w:rsidRPr="00402DF5">
        <w:rPr>
          <w:rFonts w:ascii="Times New Roman" w:hAnsi="Times New Roman" w:cs="Times New Roman"/>
        </w:rPr>
        <w:t xml:space="preserve"> and others, particularly through competition laws, on the basis of economic effect in their territory, when the conduct was lawful where carried out. Th</w:t>
      </w:r>
      <w:r w:rsidR="00A21E98">
        <w:rPr>
          <w:rFonts w:ascii="Times New Roman" w:hAnsi="Times New Roman" w:cs="Times New Roman"/>
        </w:rPr>
        <w:t xml:space="preserve">e </w:t>
      </w:r>
      <w:r w:rsidRPr="00402DF5">
        <w:rPr>
          <w:rFonts w:ascii="Times New Roman" w:hAnsi="Times New Roman" w:cs="Times New Roman"/>
        </w:rPr>
        <w:t>Restatement takes the position that a state may exercise jurisdiction based on effects in the state, when the effect or intended effect is substantial and the exercise of j</w:t>
      </w:r>
      <w:r w:rsidR="00A21E98">
        <w:rPr>
          <w:rFonts w:ascii="Times New Roman" w:hAnsi="Times New Roman" w:cs="Times New Roman"/>
        </w:rPr>
        <w:t xml:space="preserve">urisdiction is </w:t>
      </w:r>
      <w:r w:rsidR="002B070C">
        <w:rPr>
          <w:rFonts w:ascii="Times New Roman" w:hAnsi="Times New Roman" w:cs="Times New Roman"/>
        </w:rPr>
        <w:t>“</w:t>
      </w:r>
      <w:r w:rsidR="00A21E98">
        <w:rPr>
          <w:rFonts w:ascii="Times New Roman" w:hAnsi="Times New Roman" w:cs="Times New Roman"/>
        </w:rPr>
        <w:t>reasonable.</w:t>
      </w:r>
      <w:r w:rsidR="002B070C">
        <w:rPr>
          <w:rFonts w:ascii="Times New Roman" w:hAnsi="Times New Roman" w:cs="Times New Roman"/>
        </w:rPr>
        <w:t>”</w:t>
      </w:r>
      <w:r w:rsidR="009C4BDD">
        <w:rPr>
          <w:rFonts w:ascii="Times New Roman" w:hAnsi="Times New Roman" w:cs="Times New Roman"/>
        </w:rPr>
        <w:t xml:space="preserve">  </w:t>
      </w:r>
      <w:r w:rsidR="00A21E98">
        <w:rPr>
          <w:rFonts w:ascii="Times New Roman" w:hAnsi="Times New Roman" w:cs="Times New Roman"/>
        </w:rPr>
        <w:t xml:space="preserve">The Restatement </w:t>
      </w:r>
      <w:r w:rsidR="002B070C">
        <w:rPr>
          <w:rFonts w:ascii="Times New Roman" w:hAnsi="Times New Roman" w:cs="Times New Roman"/>
        </w:rPr>
        <w:t>articulates</w:t>
      </w:r>
      <w:r w:rsidR="00A21E98">
        <w:rPr>
          <w:rFonts w:ascii="Times New Roman" w:hAnsi="Times New Roman" w:cs="Times New Roman"/>
        </w:rPr>
        <w:t xml:space="preserve"> </w:t>
      </w:r>
      <w:r w:rsidR="00342912">
        <w:rPr>
          <w:rFonts w:ascii="Times New Roman" w:hAnsi="Times New Roman" w:cs="Times New Roman"/>
        </w:rPr>
        <w:t xml:space="preserve">a non-exhaustive list of </w:t>
      </w:r>
      <w:r w:rsidR="00A21E98">
        <w:rPr>
          <w:rFonts w:ascii="Times New Roman" w:hAnsi="Times New Roman" w:cs="Times New Roman"/>
        </w:rPr>
        <w:t>factors to consider when determining whether the exercise of jurisdiction is “reasonable.”</w:t>
      </w:r>
      <w:r w:rsidR="00B47CF5">
        <w:rPr>
          <w:rFonts w:ascii="Times New Roman" w:hAnsi="Times New Roman" w:cs="Times New Roman"/>
        </w:rPr>
        <w:t xml:space="preserve"> </w:t>
      </w:r>
      <w:r w:rsidR="00340104" w:rsidRPr="006F43BB">
        <w:rPr>
          <w:rFonts w:ascii="Times New Roman" w:hAnsi="Times New Roman" w:cs="Times New Roman"/>
        </w:rPr>
        <w:t>In the case that the prescriptions by two or more</w:t>
      </w:r>
      <w:r w:rsidR="00B47CF5">
        <w:rPr>
          <w:rFonts w:ascii="Times New Roman" w:hAnsi="Times New Roman" w:cs="Times New Roman"/>
        </w:rPr>
        <w:t xml:space="preserve"> states are both reasonable, a s</w:t>
      </w:r>
      <w:r w:rsidR="00340104" w:rsidRPr="006F43BB">
        <w:rPr>
          <w:rFonts w:ascii="Times New Roman" w:hAnsi="Times New Roman" w:cs="Times New Roman"/>
        </w:rPr>
        <w:t>tate has an obligation to evaluate, but “should” defer if the other State’s interest is “clearly” greater.</w:t>
      </w:r>
      <w:r w:rsidR="009C4BDD" w:rsidRPr="009C4BDD">
        <w:rPr>
          <w:rStyle w:val="FootnoteReference"/>
          <w:rFonts w:ascii="Times New Roman" w:hAnsi="Times New Roman" w:cs="Times New Roman"/>
        </w:rPr>
        <w:t xml:space="preserve"> </w:t>
      </w:r>
      <w:r w:rsidR="009C4BDD">
        <w:rPr>
          <w:rStyle w:val="FootnoteReference"/>
          <w:rFonts w:ascii="Times New Roman" w:hAnsi="Times New Roman" w:cs="Times New Roman"/>
        </w:rPr>
        <w:footnoteReference w:id="21"/>
      </w:r>
    </w:p>
    <w:p w:rsidR="00151AD1" w:rsidRDefault="00340104" w:rsidP="006048C2">
      <w:pPr>
        <w:pStyle w:val="NoSpacing"/>
        <w:spacing w:line="480" w:lineRule="auto"/>
        <w:rPr>
          <w:rFonts w:ascii="Times New Roman" w:hAnsi="Times New Roman" w:cs="Times New Roman"/>
        </w:rPr>
      </w:pPr>
      <w:r w:rsidRPr="006F43BB">
        <w:rPr>
          <w:rFonts w:ascii="Times New Roman" w:hAnsi="Times New Roman" w:cs="Times New Roman"/>
        </w:rPr>
        <w:tab/>
        <w:t xml:space="preserve">The “reasonableness test,” has </w:t>
      </w:r>
      <w:r>
        <w:rPr>
          <w:rFonts w:ascii="Times New Roman" w:hAnsi="Times New Roman" w:cs="Times New Roman"/>
        </w:rPr>
        <w:t>been the subject of some criticism</w:t>
      </w:r>
      <w:r w:rsidRPr="006F43BB">
        <w:rPr>
          <w:rFonts w:ascii="Times New Roman" w:hAnsi="Times New Roman" w:cs="Times New Roman"/>
        </w:rPr>
        <w:t xml:space="preserve">. </w:t>
      </w:r>
      <w:r>
        <w:rPr>
          <w:rFonts w:ascii="Times New Roman" w:hAnsi="Times New Roman" w:cs="Times New Roman"/>
        </w:rPr>
        <w:t xml:space="preserve"> Some courts have concluded that no rule of international </w:t>
      </w:r>
      <w:r w:rsidRPr="006F43BB">
        <w:rPr>
          <w:rFonts w:ascii="Times New Roman" w:hAnsi="Times New Roman" w:cs="Times New Roman"/>
        </w:rPr>
        <w:t>law holds that a more reasonable assertion of jurisdiction mandatorily displaces a less reasonable assertion</w:t>
      </w:r>
      <w:r>
        <w:rPr>
          <w:rFonts w:ascii="Times New Roman" w:hAnsi="Times New Roman" w:cs="Times New Roman"/>
        </w:rPr>
        <w:t>.</w:t>
      </w:r>
      <w:r>
        <w:rPr>
          <w:rStyle w:val="FootnoteReference"/>
          <w:rFonts w:ascii="Times New Roman" w:hAnsi="Times New Roman" w:cs="Times New Roman"/>
        </w:rPr>
        <w:footnoteReference w:id="22"/>
      </w:r>
      <w:r w:rsidRPr="006F43BB">
        <w:rPr>
          <w:rFonts w:ascii="Times New Roman" w:hAnsi="Times New Roman" w:cs="Times New Roman"/>
        </w:rPr>
        <w:t xml:space="preserve"> </w:t>
      </w:r>
      <w:r>
        <w:rPr>
          <w:rFonts w:ascii="Times New Roman" w:hAnsi="Times New Roman" w:cs="Times New Roman"/>
        </w:rPr>
        <w:t xml:space="preserve">However, a number of </w:t>
      </w:r>
      <w:r w:rsidR="00F1476D">
        <w:rPr>
          <w:rFonts w:ascii="Times New Roman" w:hAnsi="Times New Roman" w:cs="Times New Roman"/>
        </w:rPr>
        <w:t>US</w:t>
      </w:r>
      <w:r>
        <w:rPr>
          <w:rFonts w:ascii="Times New Roman" w:hAnsi="Times New Roman" w:cs="Times New Roman"/>
        </w:rPr>
        <w:t xml:space="preserve"> Courts have applied extraterritorial jurisdiction based on the effects </w:t>
      </w:r>
      <w:r w:rsidR="00BB72C5">
        <w:rPr>
          <w:rFonts w:ascii="Times New Roman" w:hAnsi="Times New Roman" w:cs="Times New Roman"/>
        </w:rPr>
        <w:t>principle</w:t>
      </w:r>
      <w:r>
        <w:rPr>
          <w:rFonts w:ascii="Times New Roman" w:hAnsi="Times New Roman" w:cs="Times New Roman"/>
        </w:rPr>
        <w:t xml:space="preserve"> and appl</w:t>
      </w:r>
      <w:r w:rsidR="00B47CF5">
        <w:rPr>
          <w:rFonts w:ascii="Times New Roman" w:hAnsi="Times New Roman" w:cs="Times New Roman"/>
        </w:rPr>
        <w:t>ied the reasonableness standard</w:t>
      </w:r>
      <w:r>
        <w:rPr>
          <w:rFonts w:ascii="Times New Roman" w:hAnsi="Times New Roman" w:cs="Times New Roman"/>
        </w:rPr>
        <w:t>.</w:t>
      </w:r>
      <w:r w:rsidR="00342912">
        <w:rPr>
          <w:rStyle w:val="FootnoteReference"/>
          <w:rFonts w:ascii="Times New Roman" w:hAnsi="Times New Roman" w:cs="Times New Roman"/>
        </w:rPr>
        <w:footnoteReference w:id="23"/>
      </w:r>
    </w:p>
    <w:p w:rsidR="009B62BB" w:rsidRDefault="00151AD1" w:rsidP="006048C2">
      <w:pPr>
        <w:pStyle w:val="NoSpacing"/>
        <w:spacing w:line="480" w:lineRule="auto"/>
        <w:rPr>
          <w:rFonts w:ascii="Times New Roman" w:hAnsi="Times New Roman" w:cs="Times New Roman"/>
        </w:rPr>
      </w:pPr>
      <w:r>
        <w:rPr>
          <w:rFonts w:ascii="Times New Roman" w:hAnsi="Times New Roman" w:cs="Times New Roman"/>
        </w:rPr>
        <w:tab/>
      </w:r>
      <w:r w:rsidR="00B805FC">
        <w:rPr>
          <w:rFonts w:ascii="Times New Roman" w:hAnsi="Times New Roman" w:cs="Times New Roman"/>
        </w:rPr>
        <w:t>Under the first standard stated above, in order</w:t>
      </w:r>
      <w:r>
        <w:rPr>
          <w:rFonts w:ascii="Times New Roman" w:hAnsi="Times New Roman" w:cs="Times New Roman"/>
        </w:rPr>
        <w:t xml:space="preserve"> for the Directive to comport with </w:t>
      </w:r>
      <w:r w:rsidR="003C174E">
        <w:rPr>
          <w:rFonts w:ascii="Times New Roman" w:hAnsi="Times New Roman" w:cs="Times New Roman"/>
        </w:rPr>
        <w:t>the principles of</w:t>
      </w:r>
      <w:r>
        <w:rPr>
          <w:rFonts w:ascii="Times New Roman" w:hAnsi="Times New Roman" w:cs="Times New Roman"/>
        </w:rPr>
        <w:t xml:space="preserve"> international law</w:t>
      </w:r>
      <w:r w:rsidR="003C174E">
        <w:rPr>
          <w:rFonts w:ascii="Times New Roman" w:hAnsi="Times New Roman" w:cs="Times New Roman"/>
        </w:rPr>
        <w:t xml:space="preserve"> </w:t>
      </w:r>
      <w:r>
        <w:rPr>
          <w:rFonts w:ascii="Times New Roman" w:hAnsi="Times New Roman" w:cs="Times New Roman"/>
        </w:rPr>
        <w:t xml:space="preserve">there must be a substantial and </w:t>
      </w:r>
      <w:r w:rsidRPr="00151AD1">
        <w:rPr>
          <w:rFonts w:ascii="Times New Roman" w:hAnsi="Times New Roman" w:cs="Times New Roman"/>
          <w:i/>
        </w:rPr>
        <w:t>bona fide</w:t>
      </w:r>
      <w:r>
        <w:rPr>
          <w:rFonts w:ascii="Times New Roman" w:hAnsi="Times New Roman" w:cs="Times New Roman"/>
        </w:rPr>
        <w:t xml:space="preserve"> connection between </w:t>
      </w:r>
      <w:r w:rsidR="003C174E">
        <w:rPr>
          <w:rFonts w:ascii="Times New Roman" w:hAnsi="Times New Roman" w:cs="Times New Roman"/>
        </w:rPr>
        <w:t xml:space="preserve">the </w:t>
      </w:r>
      <w:r w:rsidR="00B805FC">
        <w:rPr>
          <w:rFonts w:ascii="Times New Roman" w:hAnsi="Times New Roman" w:cs="Times New Roman"/>
        </w:rPr>
        <w:t>EU</w:t>
      </w:r>
      <w:r w:rsidR="002263C0">
        <w:rPr>
          <w:rFonts w:ascii="Times New Roman" w:hAnsi="Times New Roman" w:cs="Times New Roman"/>
        </w:rPr>
        <w:t xml:space="preserve"> (the source of the jurisdiction)</w:t>
      </w:r>
      <w:r>
        <w:rPr>
          <w:rFonts w:ascii="Times New Roman" w:hAnsi="Times New Roman" w:cs="Times New Roman"/>
        </w:rPr>
        <w:t xml:space="preserve"> and </w:t>
      </w:r>
      <w:r w:rsidR="00B805FC">
        <w:rPr>
          <w:rFonts w:ascii="Times New Roman" w:hAnsi="Times New Roman" w:cs="Times New Roman"/>
        </w:rPr>
        <w:t xml:space="preserve">the release of </w:t>
      </w:r>
      <w:r w:rsidR="00C25DA6">
        <w:rPr>
          <w:rFonts w:ascii="Times New Roman" w:hAnsi="Times New Roman" w:cs="Times New Roman"/>
        </w:rPr>
        <w:t>green house gases (GHG)</w:t>
      </w:r>
      <w:r w:rsidR="00B805FC">
        <w:rPr>
          <w:rFonts w:ascii="Times New Roman" w:hAnsi="Times New Roman" w:cs="Times New Roman"/>
        </w:rPr>
        <w:t xml:space="preserve"> by international air carriers over the high seas and third countries</w:t>
      </w:r>
      <w:r w:rsidR="002263C0">
        <w:rPr>
          <w:rFonts w:ascii="Times New Roman" w:hAnsi="Times New Roman" w:cs="Times New Roman"/>
        </w:rPr>
        <w:t xml:space="preserve"> (the activity regulated)</w:t>
      </w:r>
      <w:r w:rsidR="003C174E">
        <w:rPr>
          <w:rFonts w:ascii="Times New Roman" w:hAnsi="Times New Roman" w:cs="Times New Roman"/>
        </w:rPr>
        <w:t xml:space="preserve">. </w:t>
      </w:r>
      <w:r w:rsidR="00C25DA6">
        <w:rPr>
          <w:rFonts w:ascii="Times New Roman" w:hAnsi="Times New Roman" w:cs="Times New Roman"/>
        </w:rPr>
        <w:t xml:space="preserve"> Under t</w:t>
      </w:r>
      <w:r w:rsidR="00B805FC">
        <w:rPr>
          <w:rFonts w:ascii="Times New Roman" w:hAnsi="Times New Roman" w:cs="Times New Roman"/>
        </w:rPr>
        <w:t xml:space="preserve">he Restatement, the same activity (the extraterritorial release of GHG) must have a </w:t>
      </w:r>
      <w:r w:rsidR="00B805FC">
        <w:rPr>
          <w:rFonts w:ascii="Times New Roman" w:hAnsi="Times New Roman" w:cs="Times New Roman"/>
          <w:i/>
        </w:rPr>
        <w:t>substantial effect</w:t>
      </w:r>
      <w:r w:rsidR="00B805FC">
        <w:rPr>
          <w:rFonts w:ascii="Times New Roman" w:hAnsi="Times New Roman" w:cs="Times New Roman"/>
        </w:rPr>
        <w:t xml:space="preserve"> on EU territory. </w:t>
      </w:r>
      <w:r w:rsidR="00D07359">
        <w:rPr>
          <w:rFonts w:ascii="Times New Roman" w:hAnsi="Times New Roman" w:cs="Times New Roman"/>
        </w:rPr>
        <w:t xml:space="preserve"> </w:t>
      </w:r>
      <w:r w:rsidR="008935A7">
        <w:rPr>
          <w:rFonts w:ascii="Times New Roman" w:hAnsi="Times New Roman" w:cs="Times New Roman"/>
        </w:rPr>
        <w:t xml:space="preserve">The Directive will first be analyzed under the principles of international law articulated by the Claimant interveners and Professor Ian Brownlie followed by an analysis under the Restatements. </w:t>
      </w:r>
    </w:p>
    <w:p w:rsidR="000073C0" w:rsidRDefault="00D07359" w:rsidP="006048C2">
      <w:pPr>
        <w:pStyle w:val="NoSpacing"/>
        <w:spacing w:line="480" w:lineRule="auto"/>
        <w:rPr>
          <w:rFonts w:ascii="Times New Roman" w:hAnsi="Times New Roman" w:cs="Times New Roman"/>
        </w:rPr>
      </w:pPr>
      <w:r>
        <w:rPr>
          <w:rFonts w:ascii="Times New Roman" w:hAnsi="Times New Roman" w:cs="Times New Roman"/>
        </w:rPr>
        <w:tab/>
      </w:r>
      <w:r w:rsidR="00FA7989">
        <w:rPr>
          <w:rFonts w:ascii="Times New Roman" w:hAnsi="Times New Roman" w:cs="Times New Roman"/>
        </w:rPr>
        <w:t xml:space="preserve">The </w:t>
      </w:r>
      <w:r w:rsidR="00091D08">
        <w:rPr>
          <w:rFonts w:ascii="Times New Roman" w:hAnsi="Times New Roman" w:cs="Times New Roman"/>
        </w:rPr>
        <w:t xml:space="preserve">connection </w:t>
      </w:r>
      <w:r w:rsidR="00FA7989">
        <w:rPr>
          <w:rFonts w:ascii="Times New Roman" w:hAnsi="Times New Roman" w:cs="Times New Roman"/>
        </w:rPr>
        <w:t xml:space="preserve">between the EU and international aviation emissions </w:t>
      </w:r>
      <w:r w:rsidR="00091D08">
        <w:rPr>
          <w:rFonts w:ascii="Times New Roman" w:hAnsi="Times New Roman" w:cs="Times New Roman"/>
        </w:rPr>
        <w:t>is</w:t>
      </w:r>
      <w:r w:rsidR="00FA7989">
        <w:rPr>
          <w:rFonts w:ascii="Times New Roman" w:hAnsi="Times New Roman" w:cs="Times New Roman"/>
        </w:rPr>
        <w:t xml:space="preserve"> revealed by the</w:t>
      </w:r>
      <w:r w:rsidR="00091D08">
        <w:rPr>
          <w:rFonts w:ascii="Times New Roman" w:hAnsi="Times New Roman" w:cs="Times New Roman"/>
        </w:rPr>
        <w:t xml:space="preserve"> Directive’s </w:t>
      </w:r>
      <w:r w:rsidR="00CE1D91">
        <w:rPr>
          <w:rFonts w:ascii="Times New Roman" w:hAnsi="Times New Roman" w:cs="Times New Roman"/>
        </w:rPr>
        <w:t xml:space="preserve">primary </w:t>
      </w:r>
      <w:r w:rsidR="00091D08">
        <w:rPr>
          <w:rFonts w:ascii="Times New Roman" w:hAnsi="Times New Roman" w:cs="Times New Roman"/>
        </w:rPr>
        <w:t>purpose</w:t>
      </w:r>
      <w:r w:rsidR="000073C0">
        <w:rPr>
          <w:rFonts w:ascii="Times New Roman" w:hAnsi="Times New Roman" w:cs="Times New Roman"/>
        </w:rPr>
        <w:t>, which is to</w:t>
      </w:r>
      <w:r w:rsidR="00735AFB" w:rsidRPr="00A57430">
        <w:rPr>
          <w:rFonts w:ascii="Times New Roman" w:hAnsi="Times New Roman" w:cs="Times New Roman"/>
        </w:rPr>
        <w:t xml:space="preserve"> reduce the climate change impact attributable to aviation by including emissions f</w:t>
      </w:r>
      <w:r w:rsidR="000073C0">
        <w:rPr>
          <w:rFonts w:ascii="Times New Roman" w:hAnsi="Times New Roman" w:cs="Times New Roman"/>
        </w:rPr>
        <w:t>rom aviation activities in the C</w:t>
      </w:r>
      <w:r w:rsidR="00735AFB" w:rsidRPr="00A57430">
        <w:rPr>
          <w:rFonts w:ascii="Times New Roman" w:hAnsi="Times New Roman" w:cs="Times New Roman"/>
        </w:rPr>
        <w:t>ommunity scheme.</w:t>
      </w:r>
      <w:r w:rsidR="00735AFB">
        <w:rPr>
          <w:rStyle w:val="FootnoteReference"/>
          <w:rFonts w:ascii="Times New Roman" w:hAnsi="Times New Roman" w:cs="Times New Roman"/>
        </w:rPr>
        <w:footnoteReference w:id="24"/>
      </w:r>
      <w:r w:rsidR="00735AFB">
        <w:rPr>
          <w:rFonts w:ascii="Times New Roman" w:hAnsi="Times New Roman" w:cs="Times New Roman"/>
        </w:rPr>
        <w:t xml:space="preserve">  </w:t>
      </w:r>
      <w:r w:rsidR="000073C0">
        <w:rPr>
          <w:rFonts w:ascii="Times New Roman" w:hAnsi="Times New Roman" w:cs="Times New Roman"/>
        </w:rPr>
        <w:t>In addition to this primary purpose, the inclusion of international air carriers will also serve to avoid distortions in competition between EU and non-EU air carriers</w:t>
      </w:r>
      <w:r w:rsidR="00CE1D91">
        <w:rPr>
          <w:rFonts w:ascii="Times New Roman" w:hAnsi="Times New Roman" w:cs="Times New Roman"/>
        </w:rPr>
        <w:t xml:space="preserve"> already subject to the scheme</w:t>
      </w:r>
      <w:r w:rsidR="000073C0">
        <w:rPr>
          <w:rFonts w:ascii="Times New Roman" w:hAnsi="Times New Roman" w:cs="Times New Roman"/>
        </w:rPr>
        <w:t>.</w:t>
      </w:r>
      <w:r w:rsidR="002263C0">
        <w:rPr>
          <w:rStyle w:val="FootnoteReference"/>
          <w:rFonts w:ascii="Times New Roman" w:hAnsi="Times New Roman" w:cs="Times New Roman"/>
        </w:rPr>
        <w:footnoteReference w:id="25"/>
      </w:r>
      <w:r w:rsidR="00735AFB">
        <w:rPr>
          <w:rFonts w:ascii="Times New Roman" w:hAnsi="Times New Roman" w:cs="Times New Roman"/>
        </w:rPr>
        <w:t xml:space="preserve"> </w:t>
      </w:r>
    </w:p>
    <w:p w:rsidR="000A765C" w:rsidRDefault="00982442" w:rsidP="006048C2">
      <w:pPr>
        <w:pStyle w:val="NoSpacing"/>
        <w:spacing w:line="480" w:lineRule="auto"/>
        <w:rPr>
          <w:rFonts w:ascii="Times New Roman" w:hAnsi="Times New Roman" w:cs="Times New Roman"/>
        </w:rPr>
      </w:pPr>
      <w:r>
        <w:rPr>
          <w:rFonts w:ascii="Times New Roman" w:hAnsi="Times New Roman" w:cs="Times New Roman"/>
        </w:rPr>
        <w:tab/>
      </w:r>
      <w:r w:rsidR="00ED282B">
        <w:rPr>
          <w:rFonts w:ascii="Times New Roman" w:hAnsi="Times New Roman" w:cs="Times New Roman"/>
        </w:rPr>
        <w:t xml:space="preserve">While a connection between the EU, international aviation emission, and mitigating climate change is difficult to quantify; as will be discussed below under the Restatement analysis, the connection between extending to the Directive to non-EU carriers to avoid market distortions is clear.  </w:t>
      </w:r>
      <w:r w:rsidR="00CE1D91">
        <w:rPr>
          <w:rFonts w:ascii="Times New Roman" w:hAnsi="Times New Roman" w:cs="Times New Roman"/>
        </w:rPr>
        <w:t xml:space="preserve">This connection is </w:t>
      </w:r>
      <w:r w:rsidR="00CE1D91" w:rsidRPr="000A765C">
        <w:rPr>
          <w:rFonts w:ascii="Times New Roman" w:hAnsi="Times New Roman" w:cs="Times New Roman"/>
          <w:i/>
        </w:rPr>
        <w:t>bona fide</w:t>
      </w:r>
      <w:r w:rsidR="00CE1D91">
        <w:rPr>
          <w:rFonts w:ascii="Times New Roman" w:hAnsi="Times New Roman" w:cs="Times New Roman"/>
        </w:rPr>
        <w:t xml:space="preserve"> and substantial because if</w:t>
      </w:r>
      <w:r w:rsidR="00323D3F">
        <w:rPr>
          <w:rFonts w:ascii="Times New Roman" w:hAnsi="Times New Roman" w:cs="Times New Roman"/>
        </w:rPr>
        <w:t xml:space="preserve"> this scheme only applied to EU air carriers</w:t>
      </w:r>
      <w:r w:rsidR="00CE1D91">
        <w:rPr>
          <w:rFonts w:ascii="Times New Roman" w:hAnsi="Times New Roman" w:cs="Times New Roman"/>
        </w:rPr>
        <w:t>,</w:t>
      </w:r>
      <w:r w:rsidR="00323D3F">
        <w:rPr>
          <w:rFonts w:ascii="Times New Roman" w:hAnsi="Times New Roman" w:cs="Times New Roman"/>
        </w:rPr>
        <w:t xml:space="preserve"> to the exclusion of international air carriers</w:t>
      </w:r>
      <w:r w:rsidR="00CE1D91">
        <w:rPr>
          <w:rFonts w:ascii="Times New Roman" w:hAnsi="Times New Roman" w:cs="Times New Roman"/>
        </w:rPr>
        <w:t>,</w:t>
      </w:r>
      <w:r w:rsidR="00323D3F">
        <w:rPr>
          <w:rFonts w:ascii="Times New Roman" w:hAnsi="Times New Roman" w:cs="Times New Roman"/>
        </w:rPr>
        <w:t xml:space="preserve"> </w:t>
      </w:r>
      <w:r w:rsidR="00CE1D91">
        <w:rPr>
          <w:rFonts w:ascii="Times New Roman" w:hAnsi="Times New Roman" w:cs="Times New Roman"/>
        </w:rPr>
        <w:t>the</w:t>
      </w:r>
      <w:r w:rsidR="00323D3F">
        <w:rPr>
          <w:rFonts w:ascii="Times New Roman" w:hAnsi="Times New Roman" w:cs="Times New Roman"/>
        </w:rPr>
        <w:t xml:space="preserve"> EU carriers </w:t>
      </w:r>
      <w:r w:rsidR="00CE1D91">
        <w:rPr>
          <w:rFonts w:ascii="Times New Roman" w:hAnsi="Times New Roman" w:cs="Times New Roman"/>
        </w:rPr>
        <w:t>would</w:t>
      </w:r>
      <w:r w:rsidR="00323D3F">
        <w:rPr>
          <w:rFonts w:ascii="Times New Roman" w:hAnsi="Times New Roman" w:cs="Times New Roman"/>
        </w:rPr>
        <w:t xml:space="preserve"> be placed at a competitive disadvantage.  They w</w:t>
      </w:r>
      <w:r w:rsidR="00CE1D91">
        <w:rPr>
          <w:rFonts w:ascii="Times New Roman" w:hAnsi="Times New Roman" w:cs="Times New Roman"/>
        </w:rPr>
        <w:t>ould</w:t>
      </w:r>
      <w:r w:rsidR="00323D3F">
        <w:rPr>
          <w:rFonts w:ascii="Times New Roman" w:hAnsi="Times New Roman" w:cs="Times New Roman"/>
        </w:rPr>
        <w:t xml:space="preserve"> be forced to monitor emissions, purchase allowances, and become more efficient while their </w:t>
      </w:r>
      <w:r w:rsidR="00CE1D91">
        <w:rPr>
          <w:rFonts w:ascii="Times New Roman" w:hAnsi="Times New Roman" w:cs="Times New Roman"/>
        </w:rPr>
        <w:t xml:space="preserve">international rivals are allowed to continue polluting without the same restrictions and costs.  The added burden to EU carriers </w:t>
      </w:r>
      <w:r w:rsidR="00ED282B">
        <w:rPr>
          <w:rFonts w:ascii="Times New Roman" w:hAnsi="Times New Roman" w:cs="Times New Roman"/>
        </w:rPr>
        <w:t>would</w:t>
      </w:r>
      <w:r w:rsidR="00CE1D91">
        <w:rPr>
          <w:rFonts w:ascii="Times New Roman" w:hAnsi="Times New Roman" w:cs="Times New Roman"/>
        </w:rPr>
        <w:t xml:space="preserve"> undermine the Directive’s purpose because the consumer would be drawn to the lower fair offered by the international competition.</w:t>
      </w:r>
      <w:r w:rsidR="00ED282B">
        <w:rPr>
          <w:rFonts w:ascii="Times New Roman" w:hAnsi="Times New Roman" w:cs="Times New Roman"/>
        </w:rPr>
        <w:t xml:space="preserve">  </w:t>
      </w:r>
      <w:r w:rsidR="00CE1D91">
        <w:rPr>
          <w:rFonts w:ascii="Times New Roman" w:hAnsi="Times New Roman" w:cs="Times New Roman"/>
        </w:rPr>
        <w:t>Therefore, in order for this Directive to succeed, it must apply to international carriers serving the EU.</w:t>
      </w:r>
      <w:r w:rsidR="00C25DA6">
        <w:rPr>
          <w:rStyle w:val="FootnoteReference"/>
          <w:rFonts w:ascii="Times New Roman" w:hAnsi="Times New Roman" w:cs="Times New Roman"/>
        </w:rPr>
        <w:footnoteReference w:id="26"/>
      </w:r>
      <w:r w:rsidR="00ED282B">
        <w:rPr>
          <w:rFonts w:ascii="Times New Roman" w:hAnsi="Times New Roman" w:cs="Times New Roman"/>
        </w:rPr>
        <w:t xml:space="preserve">  </w:t>
      </w:r>
    </w:p>
    <w:p w:rsidR="000A765C" w:rsidRDefault="000A765C" w:rsidP="006048C2">
      <w:pPr>
        <w:pStyle w:val="NoSpacing"/>
        <w:spacing w:line="480" w:lineRule="auto"/>
        <w:ind w:firstLine="720"/>
        <w:rPr>
          <w:rFonts w:ascii="Times New Roman" w:hAnsi="Times New Roman" w:cs="Times New Roman"/>
        </w:rPr>
      </w:pPr>
      <w:r>
        <w:rPr>
          <w:rFonts w:ascii="Times New Roman" w:hAnsi="Times New Roman" w:cs="Times New Roman"/>
        </w:rPr>
        <w:t>In terms of non-intervention in the domestic or territorial jurisdiction of other states</w:t>
      </w:r>
      <w:r w:rsidR="008935A7">
        <w:rPr>
          <w:rFonts w:ascii="Times New Roman" w:hAnsi="Times New Roman" w:cs="Times New Roman"/>
        </w:rPr>
        <w:t>,</w:t>
      </w:r>
      <w:r>
        <w:rPr>
          <w:rFonts w:ascii="Times New Roman" w:hAnsi="Times New Roman" w:cs="Times New Roman"/>
        </w:rPr>
        <w:t xml:space="preserve"> the Directive only deals with flights to and from the EU and does not mandate any other action from international carriers. It does not tell other states that they must enact climate legislation or mandate the type of fuel that must be used or the type of aircraft that must be used.  Nor does the Directive currently conflict with any other </w:t>
      </w:r>
      <w:r w:rsidR="008935A7">
        <w:rPr>
          <w:rFonts w:ascii="Times New Roman" w:hAnsi="Times New Roman" w:cs="Times New Roman"/>
        </w:rPr>
        <w:t>existing regulations from any other state</w:t>
      </w:r>
      <w:r>
        <w:rPr>
          <w:rFonts w:ascii="Times New Roman" w:hAnsi="Times New Roman" w:cs="Times New Roman"/>
        </w:rPr>
        <w:t>.</w:t>
      </w:r>
      <w:r>
        <w:rPr>
          <w:rStyle w:val="FootnoteReference"/>
          <w:rFonts w:ascii="Times New Roman" w:hAnsi="Times New Roman" w:cs="Times New Roman"/>
        </w:rPr>
        <w:footnoteReference w:id="27"/>
      </w:r>
      <w:r>
        <w:rPr>
          <w:rFonts w:ascii="Times New Roman" w:hAnsi="Times New Roman" w:cs="Times New Roman"/>
        </w:rPr>
        <w:t xml:space="preserve">  Although the Kyoto Protocol vested the responsibility of creating an emissions trading scheme in the International Civil Aviation Org</w:t>
      </w:r>
      <w:r w:rsidR="0099705F">
        <w:rPr>
          <w:rFonts w:ascii="Times New Roman" w:hAnsi="Times New Roman" w:cs="Times New Roman"/>
        </w:rPr>
        <w:t>anization (ICAO); in the past 13</w:t>
      </w:r>
      <w:r>
        <w:rPr>
          <w:rFonts w:ascii="Times New Roman" w:hAnsi="Times New Roman" w:cs="Times New Roman"/>
        </w:rPr>
        <w:t xml:space="preserve"> years ICAO has failed to mandate any such legislation or emissions scheme.</w:t>
      </w:r>
      <w:r w:rsidR="0099705F">
        <w:rPr>
          <w:rStyle w:val="FootnoteReference"/>
          <w:rFonts w:ascii="Times New Roman" w:hAnsi="Times New Roman" w:cs="Times New Roman"/>
        </w:rPr>
        <w:footnoteReference w:id="28"/>
      </w:r>
      <w:r>
        <w:rPr>
          <w:rFonts w:ascii="Times New Roman" w:hAnsi="Times New Roman" w:cs="Times New Roman"/>
        </w:rPr>
        <w:t xml:space="preserve">  Given ICAO’s failure to act it is entirely foreseeable and arguably appropriate that other states take some action. </w:t>
      </w:r>
    </w:p>
    <w:p w:rsidR="008935A7" w:rsidRDefault="000A765C" w:rsidP="006048C2">
      <w:pPr>
        <w:pStyle w:val="NoSpacing"/>
        <w:spacing w:line="480" w:lineRule="auto"/>
        <w:ind w:firstLine="720"/>
        <w:rPr>
          <w:rFonts w:ascii="Times New Roman" w:hAnsi="Times New Roman" w:cs="Times New Roman"/>
        </w:rPr>
      </w:pPr>
      <w:r>
        <w:rPr>
          <w:rFonts w:ascii="Times New Roman" w:hAnsi="Times New Roman" w:cs="Times New Roman"/>
        </w:rPr>
        <w:t>Under the principles of mutuality and accommodation, the Directive has created an equivalency provision.   In this provision the Directive proposes to accommodate non-existent but emerging foreign emissions trading schemes.  If a State were to adopt measure</w:t>
      </w:r>
      <w:r w:rsidR="008935A7">
        <w:rPr>
          <w:rFonts w:ascii="Times New Roman" w:hAnsi="Times New Roman" w:cs="Times New Roman"/>
        </w:rPr>
        <w:t>s</w:t>
      </w:r>
      <w:r>
        <w:rPr>
          <w:rFonts w:ascii="Times New Roman" w:hAnsi="Times New Roman" w:cs="Times New Roman"/>
        </w:rPr>
        <w:t>, which have an environmental effect at least equivalent to that of the Directive, to reduce the climate impact of flights to the EU, the EU “</w:t>
      </w:r>
      <w:r w:rsidRPr="000B6687">
        <w:rPr>
          <w:rFonts w:ascii="Times New Roman" w:hAnsi="Times New Roman" w:cs="Times New Roman"/>
        </w:rPr>
        <w:t>should consider</w:t>
      </w:r>
      <w:r>
        <w:rPr>
          <w:rFonts w:ascii="Times New Roman" w:hAnsi="Times New Roman" w:cs="Times New Roman"/>
        </w:rPr>
        <w:t>”</w:t>
      </w:r>
      <w:r>
        <w:rPr>
          <w:rFonts w:ascii="Times New Roman" w:hAnsi="Times New Roman" w:cs="Times New Roman"/>
          <w:i/>
        </w:rPr>
        <w:t xml:space="preserve"> </w:t>
      </w:r>
      <w:r>
        <w:rPr>
          <w:rFonts w:ascii="Times New Roman" w:hAnsi="Times New Roman" w:cs="Times New Roman"/>
        </w:rPr>
        <w:t>options available for optimal interaction between the two schemes.</w:t>
      </w:r>
      <w:r>
        <w:rPr>
          <w:rStyle w:val="FootnoteReference"/>
          <w:rFonts w:ascii="Times New Roman" w:hAnsi="Times New Roman" w:cs="Times New Roman"/>
        </w:rPr>
        <w:footnoteReference w:id="29"/>
      </w:r>
      <w:r>
        <w:rPr>
          <w:rFonts w:ascii="Times New Roman" w:hAnsi="Times New Roman" w:cs="Times New Roman"/>
        </w:rPr>
        <w:t xml:space="preserve">  This provision of the Directive further envisions bilateral arrangements on linking the EU scheme with other trading schemes to form a common </w:t>
      </w:r>
      <w:r w:rsidR="006048C2">
        <w:rPr>
          <w:rFonts w:ascii="Times New Roman" w:hAnsi="Times New Roman" w:cs="Times New Roman"/>
        </w:rPr>
        <w:t>scheme, which</w:t>
      </w:r>
      <w:r>
        <w:rPr>
          <w:rFonts w:ascii="Times New Roman" w:hAnsi="Times New Roman" w:cs="Times New Roman"/>
        </w:rPr>
        <w:t xml:space="preserve"> could constitute a step toward “global agreement.”</w:t>
      </w:r>
      <w:r>
        <w:rPr>
          <w:rStyle w:val="FootnoteReference"/>
          <w:rFonts w:ascii="Times New Roman" w:hAnsi="Times New Roman" w:cs="Times New Roman"/>
        </w:rPr>
        <w:footnoteReference w:id="30"/>
      </w:r>
      <w:r>
        <w:rPr>
          <w:rFonts w:ascii="Times New Roman" w:hAnsi="Times New Roman" w:cs="Times New Roman"/>
        </w:rPr>
        <w:t xml:space="preserve"> </w:t>
      </w:r>
    </w:p>
    <w:p w:rsidR="000A765C" w:rsidRDefault="008935A7" w:rsidP="006048C2">
      <w:pPr>
        <w:pStyle w:val="NoSpacing"/>
        <w:spacing w:line="480" w:lineRule="auto"/>
        <w:ind w:firstLine="720"/>
        <w:rPr>
          <w:rFonts w:ascii="Times New Roman" w:hAnsi="Times New Roman" w:cs="Times New Roman"/>
        </w:rPr>
      </w:pPr>
      <w:r>
        <w:rPr>
          <w:rFonts w:ascii="Times New Roman" w:hAnsi="Times New Roman" w:cs="Times New Roman"/>
        </w:rPr>
        <w:t>Therefore, under the principles articulate</w:t>
      </w:r>
      <w:r w:rsidR="006048C2">
        <w:rPr>
          <w:rFonts w:ascii="Times New Roman" w:hAnsi="Times New Roman" w:cs="Times New Roman"/>
        </w:rPr>
        <w:t>d</w:t>
      </w:r>
      <w:r>
        <w:rPr>
          <w:rFonts w:ascii="Times New Roman" w:hAnsi="Times New Roman" w:cs="Times New Roman"/>
        </w:rPr>
        <w:t xml:space="preserve"> by Professor Brownli</w:t>
      </w:r>
      <w:r w:rsidR="006048C2">
        <w:rPr>
          <w:rFonts w:ascii="Times New Roman" w:hAnsi="Times New Roman" w:cs="Times New Roman"/>
        </w:rPr>
        <w:t>e, and contrary to the Claimant</w:t>
      </w:r>
      <w:r w:rsidR="007F7053">
        <w:rPr>
          <w:rFonts w:ascii="Times New Roman" w:hAnsi="Times New Roman" w:cs="Times New Roman"/>
        </w:rPr>
        <w:t>s</w:t>
      </w:r>
      <w:r w:rsidR="006048C2">
        <w:rPr>
          <w:rFonts w:ascii="Times New Roman" w:hAnsi="Times New Roman" w:cs="Times New Roman"/>
        </w:rPr>
        <w:t>’</w:t>
      </w:r>
      <w:r>
        <w:rPr>
          <w:rFonts w:ascii="Times New Roman" w:hAnsi="Times New Roman" w:cs="Times New Roman"/>
        </w:rPr>
        <w:t xml:space="preserve"> position, the Directive can be read in such a way that it comports with international law. Perhaps the strongest argument in favor of</w:t>
      </w:r>
      <w:r w:rsidR="007F7053">
        <w:rPr>
          <w:rFonts w:ascii="Times New Roman" w:hAnsi="Times New Roman" w:cs="Times New Roman"/>
        </w:rPr>
        <w:t xml:space="preserve"> the Directive is that there is no real comparable legislation in place and the fact that the Directive is designed to accommodate new or emerging legislation.  Finally, the international reach is limited.  </w:t>
      </w:r>
      <w:proofErr w:type="gramStart"/>
      <w:r w:rsidR="007F7053">
        <w:rPr>
          <w:rFonts w:ascii="Times New Roman" w:hAnsi="Times New Roman" w:cs="Times New Roman"/>
        </w:rPr>
        <w:t>It  does</w:t>
      </w:r>
      <w:proofErr w:type="gramEnd"/>
      <w:r w:rsidR="007F7053">
        <w:rPr>
          <w:rFonts w:ascii="Times New Roman" w:hAnsi="Times New Roman" w:cs="Times New Roman"/>
        </w:rPr>
        <w:t xml:space="preserve"> not apply to all international flights throughout the world.  It only applies to those international carriers who desire to participate in the EU market. </w:t>
      </w:r>
    </w:p>
    <w:p w:rsidR="00FA7989" w:rsidRDefault="00C42788" w:rsidP="006048C2">
      <w:pPr>
        <w:pStyle w:val="NoSpacing"/>
        <w:spacing w:line="480" w:lineRule="auto"/>
        <w:rPr>
          <w:rFonts w:ascii="Times New Roman" w:hAnsi="Times New Roman" w:cs="Times New Roman"/>
        </w:rPr>
      </w:pPr>
      <w:r>
        <w:rPr>
          <w:rFonts w:ascii="Times New Roman" w:hAnsi="Times New Roman" w:cs="Times New Roman"/>
        </w:rPr>
        <w:tab/>
        <w:t>Conversely, under the Restatement’s effec</w:t>
      </w:r>
      <w:r w:rsidR="007F7053">
        <w:rPr>
          <w:rFonts w:ascii="Times New Roman" w:hAnsi="Times New Roman" w:cs="Times New Roman"/>
        </w:rPr>
        <w:t>t</w:t>
      </w:r>
      <w:r>
        <w:rPr>
          <w:rFonts w:ascii="Times New Roman" w:hAnsi="Times New Roman" w:cs="Times New Roman"/>
        </w:rPr>
        <w:t xml:space="preserve"> doctrine</w:t>
      </w:r>
      <w:r w:rsidR="00462421">
        <w:rPr>
          <w:rFonts w:ascii="Times New Roman" w:hAnsi="Times New Roman" w:cs="Times New Roman"/>
        </w:rPr>
        <w:t xml:space="preserve">, the conclusion is different because the EU has not established that international aviation emissions </w:t>
      </w:r>
      <w:r w:rsidR="00A25C9F">
        <w:rPr>
          <w:rFonts w:ascii="Times New Roman" w:hAnsi="Times New Roman" w:cs="Times New Roman"/>
        </w:rPr>
        <w:t xml:space="preserve">alone </w:t>
      </w:r>
      <w:r w:rsidR="008E1DAF">
        <w:rPr>
          <w:rFonts w:ascii="Times New Roman" w:hAnsi="Times New Roman" w:cs="Times New Roman"/>
        </w:rPr>
        <w:t xml:space="preserve">have had a </w:t>
      </w:r>
      <w:r w:rsidR="00462421" w:rsidRPr="007F7053">
        <w:rPr>
          <w:rFonts w:ascii="Times New Roman" w:hAnsi="Times New Roman" w:cs="Times New Roman"/>
        </w:rPr>
        <w:t>substantial effect</w:t>
      </w:r>
      <w:r w:rsidR="00462421">
        <w:rPr>
          <w:rFonts w:ascii="Times New Roman" w:hAnsi="Times New Roman" w:cs="Times New Roman"/>
        </w:rPr>
        <w:t xml:space="preserve"> on the EU’s </w:t>
      </w:r>
      <w:r>
        <w:rPr>
          <w:rFonts w:ascii="Times New Roman" w:hAnsi="Times New Roman" w:cs="Times New Roman"/>
        </w:rPr>
        <w:t xml:space="preserve">territory.  </w:t>
      </w:r>
      <w:r w:rsidR="008E1DAF">
        <w:rPr>
          <w:rFonts w:ascii="Times New Roman" w:hAnsi="Times New Roman" w:cs="Times New Roman"/>
        </w:rPr>
        <w:t xml:space="preserve">The Directive cites the United Nations Intergovernmental Panel on Climate Change (IPCC) </w:t>
      </w:r>
      <w:r w:rsidR="00E06B62">
        <w:rPr>
          <w:rFonts w:ascii="Times New Roman" w:hAnsi="Times New Roman" w:cs="Times New Roman"/>
        </w:rPr>
        <w:t xml:space="preserve">and </w:t>
      </w:r>
      <w:r w:rsidR="00A25C9F">
        <w:rPr>
          <w:rFonts w:ascii="Times New Roman" w:hAnsi="Times New Roman" w:cs="Times New Roman"/>
        </w:rPr>
        <w:t xml:space="preserve">makes some general observations about aviation emissions; yet </w:t>
      </w:r>
      <w:r w:rsidR="00E06B62">
        <w:rPr>
          <w:rFonts w:ascii="Times New Roman" w:hAnsi="Times New Roman" w:cs="Times New Roman"/>
        </w:rPr>
        <w:t xml:space="preserve">it </w:t>
      </w:r>
      <w:r w:rsidR="00A25C9F">
        <w:rPr>
          <w:rFonts w:ascii="Times New Roman" w:hAnsi="Times New Roman" w:cs="Times New Roman"/>
        </w:rPr>
        <w:t xml:space="preserve">fails to </w:t>
      </w:r>
      <w:r w:rsidR="00E06B62">
        <w:rPr>
          <w:rFonts w:ascii="Times New Roman" w:hAnsi="Times New Roman" w:cs="Times New Roman"/>
        </w:rPr>
        <w:t xml:space="preserve">state </w:t>
      </w:r>
      <w:r w:rsidR="008E1DAF">
        <w:rPr>
          <w:rFonts w:ascii="Times New Roman" w:hAnsi="Times New Roman" w:cs="Times New Roman"/>
        </w:rPr>
        <w:t xml:space="preserve">the impact of international aviation emissions or any specific harm that has been suffered by the EU.  The Directive </w:t>
      </w:r>
      <w:r w:rsidR="007F7053">
        <w:rPr>
          <w:rFonts w:ascii="Times New Roman" w:hAnsi="Times New Roman" w:cs="Times New Roman"/>
        </w:rPr>
        <w:t>merely states that the</w:t>
      </w:r>
      <w:r w:rsidR="008E1DAF">
        <w:rPr>
          <w:rFonts w:ascii="Times New Roman" w:hAnsi="Times New Roman" w:cs="Times New Roman"/>
        </w:rPr>
        <w:t xml:space="preserve"> environment policy is to be based on the “precautionary principle.”</w:t>
      </w:r>
      <w:r w:rsidR="00FA7989">
        <w:rPr>
          <w:rStyle w:val="FootnoteReference"/>
          <w:rFonts w:ascii="Times New Roman" w:hAnsi="Times New Roman" w:cs="Times New Roman"/>
        </w:rPr>
        <w:footnoteReference w:id="31"/>
      </w:r>
      <w:r w:rsidR="00FA7989">
        <w:rPr>
          <w:rFonts w:ascii="Times New Roman" w:hAnsi="Times New Roman" w:cs="Times New Roman"/>
        </w:rPr>
        <w:t xml:space="preserve">  </w:t>
      </w:r>
    </w:p>
    <w:p w:rsidR="0020375A" w:rsidRDefault="00FA7989" w:rsidP="006048C2">
      <w:pPr>
        <w:pStyle w:val="NoSpacing"/>
        <w:spacing w:line="480" w:lineRule="auto"/>
        <w:ind w:firstLine="720"/>
        <w:rPr>
          <w:rFonts w:ascii="Times New Roman" w:hAnsi="Times New Roman" w:cs="Times New Roman"/>
        </w:rPr>
      </w:pPr>
      <w:r>
        <w:rPr>
          <w:rFonts w:ascii="Times New Roman" w:hAnsi="Times New Roman" w:cs="Times New Roman"/>
        </w:rPr>
        <w:t>The specific impacts of climate change on the EU are more fully articulated i</w:t>
      </w:r>
      <w:r w:rsidR="00FC4C4F">
        <w:rPr>
          <w:rFonts w:ascii="Times New Roman" w:hAnsi="Times New Roman" w:cs="Times New Roman"/>
        </w:rPr>
        <w:t xml:space="preserve">n 2007 </w:t>
      </w:r>
      <w:r w:rsidR="0020375A">
        <w:rPr>
          <w:rFonts w:ascii="Times New Roman" w:hAnsi="Times New Roman" w:cs="Times New Roman"/>
        </w:rPr>
        <w:t xml:space="preserve">the </w:t>
      </w:r>
      <w:r w:rsidR="00A25C9F">
        <w:rPr>
          <w:rFonts w:ascii="Times New Roman" w:hAnsi="Times New Roman" w:cs="Times New Roman"/>
        </w:rPr>
        <w:t>IPCC</w:t>
      </w:r>
      <w:r w:rsidR="0020375A">
        <w:rPr>
          <w:rFonts w:ascii="Times New Roman" w:hAnsi="Times New Roman" w:cs="Times New Roman"/>
        </w:rPr>
        <w:t xml:space="preserve"> Working Group</w:t>
      </w:r>
      <w:r w:rsidR="00C750C5">
        <w:rPr>
          <w:rFonts w:ascii="Times New Roman" w:hAnsi="Times New Roman" w:cs="Times New Roman"/>
        </w:rPr>
        <w:t xml:space="preserve"> Report</w:t>
      </w:r>
      <w:r w:rsidR="00655000">
        <w:rPr>
          <w:rFonts w:ascii="Times New Roman" w:hAnsi="Times New Roman" w:cs="Times New Roman"/>
        </w:rPr>
        <w:t>s</w:t>
      </w:r>
      <w:r w:rsidR="00C750C5">
        <w:rPr>
          <w:rFonts w:ascii="Times New Roman" w:hAnsi="Times New Roman" w:cs="Times New Roman"/>
        </w:rPr>
        <w:t xml:space="preserve">.  </w:t>
      </w:r>
      <w:r w:rsidR="004D07B2">
        <w:rPr>
          <w:rFonts w:ascii="Times New Roman" w:hAnsi="Times New Roman" w:cs="Times New Roman"/>
        </w:rPr>
        <w:t>As a result of climate change Europe is expected to suffer</w:t>
      </w:r>
      <w:r w:rsidR="009B3338">
        <w:rPr>
          <w:rFonts w:ascii="Times New Roman" w:hAnsi="Times New Roman" w:cs="Times New Roman"/>
        </w:rPr>
        <w:t xml:space="preserve"> increased w</w:t>
      </w:r>
      <w:r w:rsidR="0020375A" w:rsidRPr="0020375A">
        <w:rPr>
          <w:rFonts w:ascii="Times New Roman" w:hAnsi="Times New Roman" w:cs="Times New Roman"/>
        </w:rPr>
        <w:t xml:space="preserve">inter </w:t>
      </w:r>
      <w:r w:rsidR="004D07B2">
        <w:rPr>
          <w:rFonts w:ascii="Times New Roman" w:hAnsi="Times New Roman" w:cs="Times New Roman"/>
        </w:rPr>
        <w:t xml:space="preserve">and coastal </w:t>
      </w:r>
      <w:r w:rsidR="0020375A" w:rsidRPr="0020375A">
        <w:rPr>
          <w:rFonts w:ascii="Times New Roman" w:hAnsi="Times New Roman" w:cs="Times New Roman"/>
        </w:rPr>
        <w:t>flood</w:t>
      </w:r>
      <w:r w:rsidR="009B3338">
        <w:rPr>
          <w:rFonts w:ascii="Times New Roman" w:hAnsi="Times New Roman" w:cs="Times New Roman"/>
        </w:rPr>
        <w:t>ing</w:t>
      </w:r>
      <w:r w:rsidR="00A25C9F">
        <w:rPr>
          <w:rFonts w:ascii="Times New Roman" w:hAnsi="Times New Roman" w:cs="Times New Roman"/>
        </w:rPr>
        <w:t xml:space="preserve">.  </w:t>
      </w:r>
      <w:r w:rsidR="004D07B2">
        <w:rPr>
          <w:rFonts w:ascii="Times New Roman" w:hAnsi="Times New Roman" w:cs="Times New Roman"/>
        </w:rPr>
        <w:t xml:space="preserve">The predicted </w:t>
      </w:r>
      <w:r w:rsidR="0020375A" w:rsidRPr="0020375A">
        <w:rPr>
          <w:rFonts w:ascii="Times New Roman" w:hAnsi="Times New Roman" w:cs="Times New Roman"/>
        </w:rPr>
        <w:t>sea-level rise is likely to threaten up to 1.6 million additi</w:t>
      </w:r>
      <w:r w:rsidR="009B3338">
        <w:rPr>
          <w:rFonts w:ascii="Times New Roman" w:hAnsi="Times New Roman" w:cs="Times New Roman"/>
        </w:rPr>
        <w:t>onal people annually</w:t>
      </w:r>
      <w:r w:rsidR="0020375A" w:rsidRPr="0020375A">
        <w:rPr>
          <w:rFonts w:ascii="Times New Roman" w:hAnsi="Times New Roman" w:cs="Times New Roman"/>
        </w:rPr>
        <w:t xml:space="preserve">. Warmer, drier conditions </w:t>
      </w:r>
      <w:r w:rsidR="00C750C5">
        <w:rPr>
          <w:rFonts w:ascii="Times New Roman" w:hAnsi="Times New Roman" w:cs="Times New Roman"/>
        </w:rPr>
        <w:t>are expected</w:t>
      </w:r>
      <w:r w:rsidR="0020375A" w:rsidRPr="0020375A">
        <w:rPr>
          <w:rFonts w:ascii="Times New Roman" w:hAnsi="Times New Roman" w:cs="Times New Roman"/>
        </w:rPr>
        <w:t xml:space="preserve"> lead to more frequent and prolonged droughts, as well as to a longer fire season and increased fire risk, particularly in the Mediterra</w:t>
      </w:r>
      <w:r w:rsidR="009B3338">
        <w:rPr>
          <w:rFonts w:ascii="Times New Roman" w:hAnsi="Times New Roman" w:cs="Times New Roman"/>
        </w:rPr>
        <w:t>nean region</w:t>
      </w:r>
      <w:r w:rsidR="0020375A" w:rsidRPr="0020375A">
        <w:rPr>
          <w:rFonts w:ascii="Times New Roman" w:hAnsi="Times New Roman" w:cs="Times New Roman"/>
        </w:rPr>
        <w:t>. During dry years, catastrophic fires are expected on drained peat</w:t>
      </w:r>
      <w:r w:rsidR="009B3338">
        <w:rPr>
          <w:rFonts w:ascii="Times New Roman" w:hAnsi="Times New Roman" w:cs="Times New Roman"/>
        </w:rPr>
        <w:t xml:space="preserve"> lands in central Europe</w:t>
      </w:r>
      <w:r w:rsidR="0020375A" w:rsidRPr="0020375A">
        <w:rPr>
          <w:rFonts w:ascii="Times New Roman" w:hAnsi="Times New Roman" w:cs="Times New Roman"/>
        </w:rPr>
        <w:t>.</w:t>
      </w:r>
      <w:r w:rsidR="009B3338">
        <w:rPr>
          <w:rFonts w:ascii="Times New Roman" w:hAnsi="Times New Roman" w:cs="Times New Roman"/>
        </w:rPr>
        <w:t xml:space="preserve"> </w:t>
      </w:r>
      <w:r w:rsidR="0020375A" w:rsidRPr="0020375A">
        <w:rPr>
          <w:rFonts w:ascii="Times New Roman" w:hAnsi="Times New Roman" w:cs="Times New Roman"/>
        </w:rPr>
        <w:t>Without adaptive measures, risks to health due to more frequent heat</w:t>
      </w:r>
      <w:r w:rsidR="009B3338">
        <w:rPr>
          <w:rFonts w:ascii="Times New Roman" w:hAnsi="Times New Roman" w:cs="Times New Roman"/>
        </w:rPr>
        <w:t xml:space="preserve"> </w:t>
      </w:r>
      <w:r w:rsidR="0020375A" w:rsidRPr="0020375A">
        <w:rPr>
          <w:rFonts w:ascii="Times New Roman" w:hAnsi="Times New Roman" w:cs="Times New Roman"/>
        </w:rPr>
        <w:t xml:space="preserve">waves, particularly in central and southern Europe, and flooding, </w:t>
      </w:r>
      <w:r w:rsidR="00A25C9F">
        <w:rPr>
          <w:rFonts w:ascii="Times New Roman" w:hAnsi="Times New Roman" w:cs="Times New Roman"/>
        </w:rPr>
        <w:t xml:space="preserve">and greater exposure to vector </w:t>
      </w:r>
      <w:r w:rsidR="0020375A" w:rsidRPr="0020375A">
        <w:rPr>
          <w:rFonts w:ascii="Times New Roman" w:hAnsi="Times New Roman" w:cs="Times New Roman"/>
        </w:rPr>
        <w:t>and food-borne diseases are anticipated to increase</w:t>
      </w:r>
      <w:r w:rsidR="009B3338">
        <w:rPr>
          <w:rFonts w:ascii="Times New Roman" w:hAnsi="Times New Roman" w:cs="Times New Roman"/>
        </w:rPr>
        <w:t>.</w:t>
      </w:r>
      <w:r w:rsidR="009B3338">
        <w:rPr>
          <w:rStyle w:val="FootnoteReference"/>
          <w:rFonts w:ascii="Times New Roman" w:hAnsi="Times New Roman" w:cs="Times New Roman"/>
        </w:rPr>
        <w:footnoteReference w:id="32"/>
      </w:r>
    </w:p>
    <w:p w:rsidR="009B3338" w:rsidRDefault="009B3338" w:rsidP="006048C2">
      <w:pPr>
        <w:pStyle w:val="NoSpacing"/>
        <w:spacing w:line="480" w:lineRule="auto"/>
        <w:rPr>
          <w:rFonts w:ascii="Times New Roman" w:hAnsi="Times New Roman" w:cs="Times New Roman"/>
        </w:rPr>
      </w:pPr>
    </w:p>
    <w:p w:rsidR="004314AB" w:rsidRDefault="009B3338" w:rsidP="006048C2">
      <w:pPr>
        <w:pStyle w:val="NoSpacing"/>
        <w:spacing w:line="480" w:lineRule="auto"/>
        <w:rPr>
          <w:rFonts w:ascii="Times New Roman" w:hAnsi="Times New Roman" w:cs="Times New Roman"/>
        </w:rPr>
      </w:pPr>
      <w:r>
        <w:rPr>
          <w:rFonts w:ascii="Times New Roman" w:hAnsi="Times New Roman" w:cs="Times New Roman"/>
        </w:rPr>
        <w:tab/>
      </w:r>
      <w:r w:rsidR="00655000">
        <w:rPr>
          <w:rFonts w:ascii="Times New Roman" w:hAnsi="Times New Roman" w:cs="Times New Roman"/>
        </w:rPr>
        <w:t>However, the</w:t>
      </w:r>
      <w:r w:rsidR="007A7498">
        <w:rPr>
          <w:rFonts w:ascii="Times New Roman" w:hAnsi="Times New Roman" w:cs="Times New Roman"/>
        </w:rPr>
        <w:t xml:space="preserve"> EU is not the only region of the world so affected by climate change.  The report also cites significant consequences of climate change for all regions of the world. Other regions of the world, particularly islands in the Pacific, are projected to suffer more serious consequences through similar flooding, droughts, and displacements of their populations.</w:t>
      </w:r>
      <w:r w:rsidR="007A7498">
        <w:rPr>
          <w:rStyle w:val="FootnoteReference"/>
          <w:rFonts w:ascii="Times New Roman" w:hAnsi="Times New Roman" w:cs="Times New Roman"/>
        </w:rPr>
        <w:footnoteReference w:id="33"/>
      </w:r>
      <w:r w:rsidR="007A7498">
        <w:rPr>
          <w:rFonts w:ascii="Times New Roman" w:hAnsi="Times New Roman" w:cs="Times New Roman"/>
        </w:rPr>
        <w:t xml:space="preserve"> </w:t>
      </w:r>
      <w:r w:rsidR="00AE5486">
        <w:rPr>
          <w:rFonts w:ascii="Times New Roman" w:hAnsi="Times New Roman" w:cs="Times New Roman"/>
        </w:rPr>
        <w:t xml:space="preserve"> Moreover, t</w:t>
      </w:r>
      <w:r w:rsidR="00E06B62">
        <w:rPr>
          <w:rFonts w:ascii="Times New Roman" w:hAnsi="Times New Roman" w:cs="Times New Roman"/>
        </w:rPr>
        <w:t>hese</w:t>
      </w:r>
      <w:r w:rsidR="008C1625">
        <w:rPr>
          <w:rFonts w:ascii="Times New Roman" w:hAnsi="Times New Roman" w:cs="Times New Roman"/>
        </w:rPr>
        <w:t xml:space="preserve"> consequences are not directly attributable to international aviation emissions alone, but rather they are attributable to global emissions of </w:t>
      </w:r>
      <w:r w:rsidR="00C750C5">
        <w:rPr>
          <w:rFonts w:ascii="Times New Roman" w:hAnsi="Times New Roman" w:cs="Times New Roman"/>
        </w:rPr>
        <w:t>green house gases</w:t>
      </w:r>
      <w:r w:rsidR="008C1625">
        <w:rPr>
          <w:rFonts w:ascii="Times New Roman" w:hAnsi="Times New Roman" w:cs="Times New Roman"/>
        </w:rPr>
        <w:t xml:space="preserve"> by all modes of transp</w:t>
      </w:r>
      <w:r w:rsidR="00E60B9C">
        <w:rPr>
          <w:rFonts w:ascii="Times New Roman" w:hAnsi="Times New Roman" w:cs="Times New Roman"/>
        </w:rPr>
        <w:t>ortation and energy production</w:t>
      </w:r>
      <w:r w:rsidR="007A7498">
        <w:rPr>
          <w:rFonts w:ascii="Times New Roman" w:hAnsi="Times New Roman" w:cs="Times New Roman"/>
        </w:rPr>
        <w:t xml:space="preserve">. </w:t>
      </w:r>
      <w:r w:rsidR="007A7498" w:rsidRPr="007A7498">
        <w:rPr>
          <w:rFonts w:ascii="Times New Roman" w:hAnsi="Times New Roman" w:cs="Times New Roman"/>
        </w:rPr>
        <w:t>The task of detecting climate change is difficult; the task of detecting the aircraft contribution to the overall change is more difficult because aircraft a</w:t>
      </w:r>
      <w:r w:rsidR="00AE5486">
        <w:rPr>
          <w:rFonts w:ascii="Times New Roman" w:hAnsi="Times New Roman" w:cs="Times New Roman"/>
        </w:rPr>
        <w:t>re</w:t>
      </w:r>
      <w:r w:rsidR="007A7498" w:rsidRPr="007A7498">
        <w:rPr>
          <w:rFonts w:ascii="Times New Roman" w:hAnsi="Times New Roman" w:cs="Times New Roman"/>
        </w:rPr>
        <w:t xml:space="preserve"> </w:t>
      </w:r>
      <w:r w:rsidR="00AE5486">
        <w:rPr>
          <w:rFonts w:ascii="Times New Roman" w:hAnsi="Times New Roman" w:cs="Times New Roman"/>
        </w:rPr>
        <w:t xml:space="preserve">only responsible for a </w:t>
      </w:r>
      <w:r w:rsidR="007A7498" w:rsidRPr="007A7498">
        <w:rPr>
          <w:rFonts w:ascii="Times New Roman" w:hAnsi="Times New Roman" w:cs="Times New Roman"/>
        </w:rPr>
        <w:t xml:space="preserve">small fraction of anthropogenic </w:t>
      </w:r>
      <w:r w:rsidR="00AE5486">
        <w:rPr>
          <w:rFonts w:ascii="Times New Roman" w:hAnsi="Times New Roman" w:cs="Times New Roman"/>
        </w:rPr>
        <w:t xml:space="preserve">emissions.  </w:t>
      </w:r>
      <w:r w:rsidR="007A7498" w:rsidRPr="007A7498">
        <w:rPr>
          <w:rFonts w:ascii="Times New Roman" w:hAnsi="Times New Roman" w:cs="Times New Roman"/>
        </w:rPr>
        <w:t xml:space="preserve">However, aircraft perturb the atmosphere in a specific way because their emissions occur in the free troposphere and lower stratosphere, and they trigger contrails, so the aircraft contribution to overall climate change may have a particular signature. At a minimum, the aircraft-induced climate change pattern </w:t>
      </w:r>
      <w:r w:rsidR="00AE5486">
        <w:rPr>
          <w:rFonts w:ascii="Times New Roman" w:hAnsi="Times New Roman" w:cs="Times New Roman"/>
        </w:rPr>
        <w:t>is likely to be</w:t>
      </w:r>
      <w:r w:rsidR="007A7498" w:rsidRPr="007A7498">
        <w:rPr>
          <w:rFonts w:ascii="Times New Roman" w:hAnsi="Times New Roman" w:cs="Times New Roman"/>
        </w:rPr>
        <w:t xml:space="preserve"> significantly different from the overall climate change </w:t>
      </w:r>
      <w:r w:rsidR="00AE5486">
        <w:rPr>
          <w:rFonts w:ascii="Times New Roman" w:hAnsi="Times New Roman" w:cs="Times New Roman"/>
        </w:rPr>
        <w:t>pattern in order to be detected.</w:t>
      </w:r>
      <w:r w:rsidR="009F37B3">
        <w:rPr>
          <w:rStyle w:val="FootnoteReference"/>
          <w:rFonts w:ascii="Times New Roman" w:hAnsi="Times New Roman" w:cs="Times New Roman"/>
        </w:rPr>
        <w:footnoteReference w:id="34"/>
      </w:r>
      <w:r w:rsidR="00655000">
        <w:rPr>
          <w:rFonts w:ascii="Times New Roman" w:hAnsi="Times New Roman" w:cs="Times New Roman"/>
        </w:rPr>
        <w:t xml:space="preserve">  </w:t>
      </w:r>
      <w:r w:rsidR="000A0D1F">
        <w:rPr>
          <w:rFonts w:ascii="Times New Roman" w:hAnsi="Times New Roman" w:cs="Times New Roman"/>
        </w:rPr>
        <w:t xml:space="preserve">While </w:t>
      </w:r>
      <w:r w:rsidR="00B33304">
        <w:rPr>
          <w:rFonts w:ascii="Times New Roman" w:hAnsi="Times New Roman" w:cs="Times New Roman"/>
        </w:rPr>
        <w:t>it is</w:t>
      </w:r>
      <w:r w:rsidR="000A0D1F">
        <w:rPr>
          <w:rFonts w:ascii="Times New Roman" w:hAnsi="Times New Roman" w:cs="Times New Roman"/>
        </w:rPr>
        <w:t xml:space="preserve"> clear that global aviation is contributing to global climate change</w:t>
      </w:r>
      <w:r w:rsidR="002E59FF">
        <w:rPr>
          <w:rFonts w:ascii="Times New Roman" w:hAnsi="Times New Roman" w:cs="Times New Roman"/>
        </w:rPr>
        <w:t>, it is unclear to what extent.  As such the impact that global aviation emissions are having on Europe is even less clear.</w:t>
      </w:r>
    </w:p>
    <w:p w:rsidR="00716F8B" w:rsidRDefault="00EB54B8" w:rsidP="006048C2">
      <w:pPr>
        <w:pStyle w:val="NoSpacing"/>
        <w:spacing w:line="480" w:lineRule="auto"/>
        <w:rPr>
          <w:rFonts w:ascii="Times New Roman" w:hAnsi="Times New Roman" w:cs="Times New Roman"/>
        </w:rPr>
      </w:pPr>
      <w:r>
        <w:rPr>
          <w:rFonts w:ascii="Times New Roman" w:hAnsi="Times New Roman" w:cs="Times New Roman"/>
        </w:rPr>
        <w:tab/>
      </w:r>
      <w:r w:rsidR="00E06B62">
        <w:rPr>
          <w:rFonts w:ascii="Times New Roman" w:hAnsi="Times New Roman" w:cs="Times New Roman"/>
        </w:rPr>
        <w:t xml:space="preserve">This lack </w:t>
      </w:r>
      <w:r w:rsidR="002E59FF">
        <w:rPr>
          <w:rFonts w:ascii="Times New Roman" w:hAnsi="Times New Roman" w:cs="Times New Roman"/>
        </w:rPr>
        <w:t>of demonstrated effect on the</w:t>
      </w:r>
      <w:r w:rsidR="00E06B62">
        <w:rPr>
          <w:rFonts w:ascii="Times New Roman" w:hAnsi="Times New Roman" w:cs="Times New Roman"/>
        </w:rPr>
        <w:t xml:space="preserve"> EU’s territory makes this situation similar to the</w:t>
      </w:r>
      <w:r>
        <w:rPr>
          <w:rFonts w:ascii="Times New Roman" w:hAnsi="Times New Roman" w:cs="Times New Roman"/>
        </w:rPr>
        <w:t xml:space="preserve"> </w:t>
      </w:r>
      <w:r>
        <w:rPr>
          <w:rFonts w:ascii="Times New Roman" w:hAnsi="Times New Roman" w:cs="Times New Roman"/>
          <w:i/>
        </w:rPr>
        <w:t xml:space="preserve">Tuna-Dolphin </w:t>
      </w:r>
      <w:r>
        <w:rPr>
          <w:rFonts w:ascii="Times New Roman" w:hAnsi="Times New Roman" w:cs="Times New Roman"/>
        </w:rPr>
        <w:t>case.</w:t>
      </w:r>
      <w:r>
        <w:rPr>
          <w:rStyle w:val="FootnoteReference"/>
          <w:rFonts w:ascii="Times New Roman" w:hAnsi="Times New Roman" w:cs="Times New Roman"/>
        </w:rPr>
        <w:footnoteReference w:id="35"/>
      </w:r>
      <w:r w:rsidR="00E45172">
        <w:rPr>
          <w:rFonts w:ascii="Times New Roman" w:hAnsi="Times New Roman" w:cs="Times New Roman"/>
        </w:rPr>
        <w:t xml:space="preserve">  In that case, portions of </w:t>
      </w:r>
      <w:r w:rsidR="006B4A6B" w:rsidRPr="006B4A6B">
        <w:rPr>
          <w:rFonts w:ascii="Times New Roman" w:hAnsi="Times New Roman" w:cs="Times New Roman"/>
        </w:rPr>
        <w:t>the</w:t>
      </w:r>
      <w:r w:rsidR="00E06B62">
        <w:rPr>
          <w:rFonts w:ascii="Times New Roman" w:hAnsi="Times New Roman" w:cs="Times New Roman"/>
        </w:rPr>
        <w:t xml:space="preserve"> US</w:t>
      </w:r>
      <w:r w:rsidR="006B4A6B" w:rsidRPr="006B4A6B">
        <w:rPr>
          <w:rFonts w:ascii="Times New Roman" w:hAnsi="Times New Roman" w:cs="Times New Roman"/>
        </w:rPr>
        <w:t xml:space="preserve"> Marine Mammal Protection Act </w:t>
      </w:r>
      <w:r w:rsidR="006B4A6B">
        <w:rPr>
          <w:rFonts w:ascii="Times New Roman" w:hAnsi="Times New Roman" w:cs="Times New Roman"/>
        </w:rPr>
        <w:t>(</w:t>
      </w:r>
      <w:r w:rsidR="006B4A6B" w:rsidRPr="006B4A6B">
        <w:rPr>
          <w:rFonts w:ascii="Times New Roman" w:hAnsi="Times New Roman" w:cs="Times New Roman"/>
        </w:rPr>
        <w:t>MMPA</w:t>
      </w:r>
      <w:r w:rsidR="006B4A6B">
        <w:rPr>
          <w:rFonts w:ascii="Times New Roman" w:hAnsi="Times New Roman" w:cs="Times New Roman"/>
        </w:rPr>
        <w:t>)</w:t>
      </w:r>
      <w:r w:rsidR="006B4A6B" w:rsidRPr="006B4A6B">
        <w:rPr>
          <w:rFonts w:ascii="Times New Roman" w:hAnsi="Times New Roman" w:cs="Times New Roman"/>
        </w:rPr>
        <w:t xml:space="preserve"> </w:t>
      </w:r>
      <w:r w:rsidR="006B4A6B">
        <w:rPr>
          <w:rFonts w:ascii="Times New Roman" w:hAnsi="Times New Roman" w:cs="Times New Roman"/>
        </w:rPr>
        <w:t xml:space="preserve">banned </w:t>
      </w:r>
      <w:r w:rsidR="006B4A6B" w:rsidRPr="006B4A6B">
        <w:rPr>
          <w:rFonts w:ascii="Times New Roman" w:hAnsi="Times New Roman" w:cs="Times New Roman"/>
        </w:rPr>
        <w:t xml:space="preserve">the importation of commercial fish or products from fish, which have been caught with commercial fishing technology, which results in the incidental kill, or incidental serious injury of ocean mammals in excess of </w:t>
      </w:r>
      <w:r w:rsidR="00485F98">
        <w:rPr>
          <w:rFonts w:ascii="Times New Roman" w:hAnsi="Times New Roman" w:cs="Times New Roman"/>
        </w:rPr>
        <w:t>US</w:t>
      </w:r>
      <w:r w:rsidR="006B4A6B" w:rsidRPr="006B4A6B">
        <w:rPr>
          <w:rFonts w:ascii="Times New Roman" w:hAnsi="Times New Roman" w:cs="Times New Roman"/>
        </w:rPr>
        <w:t xml:space="preserve"> standards.</w:t>
      </w:r>
      <w:r w:rsidR="00485F98">
        <w:t xml:space="preserve">  </w:t>
      </w:r>
      <w:r w:rsidR="006B4A6B" w:rsidRPr="006B4A6B">
        <w:rPr>
          <w:rFonts w:ascii="Times New Roman" w:hAnsi="Times New Roman" w:cs="Times New Roman"/>
        </w:rPr>
        <w:t>Special</w:t>
      </w:r>
      <w:r w:rsidR="006B4A6B">
        <w:rPr>
          <w:rFonts w:ascii="Times New Roman" w:hAnsi="Times New Roman" w:cs="Times New Roman"/>
        </w:rPr>
        <w:t xml:space="preserve"> provisions of the act </w:t>
      </w:r>
      <w:r w:rsidR="006B4A6B" w:rsidRPr="006B4A6B">
        <w:rPr>
          <w:rFonts w:ascii="Times New Roman" w:hAnsi="Times New Roman" w:cs="Times New Roman"/>
        </w:rPr>
        <w:t>provide</w:t>
      </w:r>
      <w:r w:rsidR="006B4A6B">
        <w:rPr>
          <w:rFonts w:ascii="Times New Roman" w:hAnsi="Times New Roman" w:cs="Times New Roman"/>
        </w:rPr>
        <w:t>d</w:t>
      </w:r>
      <w:r w:rsidR="006B4A6B" w:rsidRPr="006B4A6B">
        <w:rPr>
          <w:rFonts w:ascii="Times New Roman" w:hAnsi="Times New Roman" w:cs="Times New Roman"/>
        </w:rPr>
        <w:t xml:space="preserve"> that importation of yellow fin tuna harvested </w:t>
      </w:r>
      <w:r w:rsidR="006B4A6B">
        <w:rPr>
          <w:rFonts w:ascii="Times New Roman" w:hAnsi="Times New Roman" w:cs="Times New Roman"/>
        </w:rPr>
        <w:t xml:space="preserve">with certain nets </w:t>
      </w:r>
      <w:r w:rsidR="006B4A6B" w:rsidRPr="006B4A6B">
        <w:rPr>
          <w:rFonts w:ascii="Times New Roman" w:hAnsi="Times New Roman" w:cs="Times New Roman"/>
        </w:rPr>
        <w:t xml:space="preserve">and products therefrom </w:t>
      </w:r>
      <w:r w:rsidR="006B4A6B">
        <w:rPr>
          <w:rFonts w:ascii="Times New Roman" w:hAnsi="Times New Roman" w:cs="Times New Roman"/>
        </w:rPr>
        <w:t>was</w:t>
      </w:r>
      <w:r w:rsidR="006B4A6B" w:rsidRPr="006B4A6B">
        <w:rPr>
          <w:rFonts w:ascii="Times New Roman" w:hAnsi="Times New Roman" w:cs="Times New Roman"/>
        </w:rPr>
        <w:t xml:space="preserve"> prohibited unless the Secretary of Commerce</w:t>
      </w:r>
      <w:r w:rsidR="006B4A6B">
        <w:rPr>
          <w:rFonts w:ascii="Times New Roman" w:hAnsi="Times New Roman" w:cs="Times New Roman"/>
        </w:rPr>
        <w:t xml:space="preserve"> found </w:t>
      </w:r>
      <w:r w:rsidR="006B4A6B" w:rsidRPr="006B4A6B">
        <w:rPr>
          <w:rFonts w:ascii="Times New Roman" w:hAnsi="Times New Roman" w:cs="Times New Roman"/>
        </w:rPr>
        <w:t xml:space="preserve">that </w:t>
      </w:r>
      <w:r w:rsidR="002E59FF">
        <w:rPr>
          <w:rFonts w:ascii="Times New Roman" w:hAnsi="Times New Roman" w:cs="Times New Roman"/>
        </w:rPr>
        <w:t xml:space="preserve">1) </w:t>
      </w:r>
      <w:r w:rsidR="006B4A6B" w:rsidRPr="006B4A6B">
        <w:rPr>
          <w:rFonts w:ascii="Times New Roman" w:hAnsi="Times New Roman" w:cs="Times New Roman"/>
        </w:rPr>
        <w:t xml:space="preserve">the government of the harvesting country has a program regulating taking of marine mammals that is comparable to that of the </w:t>
      </w:r>
      <w:r w:rsidR="00485F98">
        <w:rPr>
          <w:rFonts w:ascii="Times New Roman" w:hAnsi="Times New Roman" w:cs="Times New Roman"/>
        </w:rPr>
        <w:t>US</w:t>
      </w:r>
      <w:r w:rsidR="006B4A6B" w:rsidRPr="006B4A6B">
        <w:rPr>
          <w:rFonts w:ascii="Times New Roman" w:hAnsi="Times New Roman" w:cs="Times New Roman"/>
        </w:rPr>
        <w:t xml:space="preserve">, and </w:t>
      </w:r>
      <w:r w:rsidR="002E59FF">
        <w:rPr>
          <w:rFonts w:ascii="Times New Roman" w:hAnsi="Times New Roman" w:cs="Times New Roman"/>
        </w:rPr>
        <w:t>2)</w:t>
      </w:r>
      <w:r w:rsidR="006B4A6B" w:rsidRPr="006B4A6B">
        <w:rPr>
          <w:rFonts w:ascii="Times New Roman" w:hAnsi="Times New Roman" w:cs="Times New Roman"/>
        </w:rPr>
        <w:t xml:space="preserve"> the average rate of incidental taking of marine mammals by vessels of the harvesting nation is comparable to the average rate of such taking by U</w:t>
      </w:r>
      <w:r w:rsidR="00485F98">
        <w:rPr>
          <w:rFonts w:ascii="Times New Roman" w:hAnsi="Times New Roman" w:cs="Times New Roman"/>
        </w:rPr>
        <w:t>S</w:t>
      </w:r>
      <w:r w:rsidR="006B4A6B" w:rsidRPr="006B4A6B">
        <w:rPr>
          <w:rFonts w:ascii="Times New Roman" w:hAnsi="Times New Roman" w:cs="Times New Roman"/>
        </w:rPr>
        <w:t xml:space="preserve"> vessels.  </w:t>
      </w:r>
      <w:r w:rsidR="006B4A6B">
        <w:rPr>
          <w:rStyle w:val="FootnoteReference"/>
          <w:rFonts w:ascii="Times New Roman" w:hAnsi="Times New Roman" w:cs="Times New Roman"/>
        </w:rPr>
        <w:footnoteReference w:id="36"/>
      </w:r>
    </w:p>
    <w:p w:rsidR="003B42F3" w:rsidRDefault="00E06B62" w:rsidP="006048C2">
      <w:pPr>
        <w:pStyle w:val="NoSpacing"/>
        <w:spacing w:line="480" w:lineRule="auto"/>
        <w:rPr>
          <w:rFonts w:ascii="Times New Roman" w:hAnsi="Times New Roman" w:cs="Times New Roman"/>
        </w:rPr>
      </w:pPr>
      <w:r>
        <w:rPr>
          <w:rFonts w:ascii="Times New Roman" w:hAnsi="Times New Roman" w:cs="Times New Roman"/>
        </w:rPr>
        <w:tab/>
        <w:t>Mexico and other s</w:t>
      </w:r>
      <w:r w:rsidR="00716F8B">
        <w:rPr>
          <w:rFonts w:ascii="Times New Roman" w:hAnsi="Times New Roman" w:cs="Times New Roman"/>
        </w:rPr>
        <w:t>tates challenged the law under existing trade agreements.  The panel found that a country can effectively control the production or consumption of an exhaustible natural resource only to the extent t</w:t>
      </w:r>
      <w:r>
        <w:rPr>
          <w:rFonts w:ascii="Times New Roman" w:hAnsi="Times New Roman" w:cs="Times New Roman"/>
        </w:rPr>
        <w:t xml:space="preserve">hat the production is under its </w:t>
      </w:r>
      <w:r w:rsidR="00716F8B">
        <w:rPr>
          <w:rFonts w:ascii="Times New Roman" w:hAnsi="Times New Roman" w:cs="Times New Roman"/>
        </w:rPr>
        <w:t>jurisdiction.</w:t>
      </w:r>
      <w:r w:rsidR="00716F8B">
        <w:rPr>
          <w:rStyle w:val="FootnoteReference"/>
          <w:rFonts w:ascii="Times New Roman" w:hAnsi="Times New Roman" w:cs="Times New Roman"/>
        </w:rPr>
        <w:footnoteReference w:id="37"/>
      </w:r>
      <w:r w:rsidR="003B42F3">
        <w:rPr>
          <w:rFonts w:ascii="Times New Roman" w:hAnsi="Times New Roman" w:cs="Times New Roman"/>
        </w:rPr>
        <w:t xml:space="preserve">  The panel found that the </w:t>
      </w:r>
      <w:r>
        <w:rPr>
          <w:rFonts w:ascii="Times New Roman" w:hAnsi="Times New Roman" w:cs="Times New Roman"/>
        </w:rPr>
        <w:t>US</w:t>
      </w:r>
      <w:r w:rsidR="003B42F3">
        <w:rPr>
          <w:rFonts w:ascii="Times New Roman" w:hAnsi="Times New Roman" w:cs="Times New Roman"/>
        </w:rPr>
        <w:t xml:space="preserve"> did not have a unique interest in the decimation of worldwide dolp</w:t>
      </w:r>
      <w:r>
        <w:rPr>
          <w:rFonts w:ascii="Times New Roman" w:hAnsi="Times New Roman" w:cs="Times New Roman"/>
        </w:rPr>
        <w:t>hin populations in the high seas</w:t>
      </w:r>
      <w:r w:rsidR="004E0950">
        <w:rPr>
          <w:rFonts w:ascii="Times New Roman" w:hAnsi="Times New Roman" w:cs="Times New Roman"/>
        </w:rPr>
        <w:t xml:space="preserve"> because </w:t>
      </w:r>
      <w:r>
        <w:rPr>
          <w:rFonts w:ascii="Times New Roman" w:hAnsi="Times New Roman" w:cs="Times New Roman"/>
        </w:rPr>
        <w:t xml:space="preserve">the US could not point to a substantial effect on the US territory.  </w:t>
      </w:r>
      <w:r w:rsidR="002E59FF">
        <w:rPr>
          <w:rFonts w:ascii="Times New Roman" w:hAnsi="Times New Roman" w:cs="Times New Roman"/>
        </w:rPr>
        <w:t>In this case the</w:t>
      </w:r>
      <w:r>
        <w:rPr>
          <w:rFonts w:ascii="Times New Roman" w:hAnsi="Times New Roman" w:cs="Times New Roman"/>
        </w:rPr>
        <w:t xml:space="preserve"> same analysis applies to the Directive because</w:t>
      </w:r>
      <w:r w:rsidR="003B42F3">
        <w:rPr>
          <w:rFonts w:ascii="Times New Roman" w:hAnsi="Times New Roman" w:cs="Times New Roman"/>
        </w:rPr>
        <w:t xml:space="preserve"> </w:t>
      </w:r>
      <w:r>
        <w:rPr>
          <w:rFonts w:ascii="Times New Roman" w:hAnsi="Times New Roman" w:cs="Times New Roman"/>
        </w:rPr>
        <w:t xml:space="preserve">the </w:t>
      </w:r>
      <w:r w:rsidR="003B42F3">
        <w:rPr>
          <w:rFonts w:ascii="Times New Roman" w:hAnsi="Times New Roman" w:cs="Times New Roman"/>
        </w:rPr>
        <w:t>EU is not uniquely affected by climate change such that it can regulate emissions over the high seas</w:t>
      </w:r>
      <w:r w:rsidR="00485F98">
        <w:rPr>
          <w:rFonts w:ascii="Times New Roman" w:hAnsi="Times New Roman" w:cs="Times New Roman"/>
        </w:rPr>
        <w:t xml:space="preserve"> or t</w:t>
      </w:r>
      <w:r w:rsidR="00E45172">
        <w:rPr>
          <w:rFonts w:ascii="Times New Roman" w:hAnsi="Times New Roman" w:cs="Times New Roman"/>
        </w:rPr>
        <w:t>he sovereign airspace of third s</w:t>
      </w:r>
      <w:r w:rsidR="00485F98">
        <w:rPr>
          <w:rFonts w:ascii="Times New Roman" w:hAnsi="Times New Roman" w:cs="Times New Roman"/>
        </w:rPr>
        <w:t>tates</w:t>
      </w:r>
      <w:r w:rsidR="003B42F3">
        <w:rPr>
          <w:rFonts w:ascii="Times New Roman" w:hAnsi="Times New Roman" w:cs="Times New Roman"/>
        </w:rPr>
        <w:t xml:space="preserve">.  </w:t>
      </w:r>
    </w:p>
    <w:p w:rsidR="0048696E" w:rsidRDefault="003B42F3" w:rsidP="006048C2">
      <w:pPr>
        <w:pStyle w:val="NoSpacing"/>
        <w:spacing w:line="480" w:lineRule="auto"/>
        <w:rPr>
          <w:rFonts w:ascii="Times New Roman" w:hAnsi="Times New Roman" w:cs="Times New Roman"/>
        </w:rPr>
      </w:pPr>
      <w:r>
        <w:rPr>
          <w:rFonts w:ascii="Times New Roman" w:hAnsi="Times New Roman" w:cs="Times New Roman"/>
        </w:rPr>
        <w:tab/>
      </w:r>
      <w:r w:rsidR="005D6C2A">
        <w:rPr>
          <w:rFonts w:ascii="Times New Roman" w:hAnsi="Times New Roman" w:cs="Times New Roman"/>
        </w:rPr>
        <w:t xml:space="preserve">The current situation is also distinguishable from another </w:t>
      </w:r>
      <w:r w:rsidR="00E06B62">
        <w:rPr>
          <w:rFonts w:ascii="Times New Roman" w:hAnsi="Times New Roman" w:cs="Times New Roman"/>
        </w:rPr>
        <w:t>trade decision</w:t>
      </w:r>
      <w:r w:rsidR="00B667FB">
        <w:rPr>
          <w:rFonts w:ascii="Times New Roman" w:hAnsi="Times New Roman" w:cs="Times New Roman"/>
        </w:rPr>
        <w:t xml:space="preserve"> where the panel confirmed</w:t>
      </w:r>
      <w:r>
        <w:rPr>
          <w:rFonts w:ascii="Times New Roman" w:hAnsi="Times New Roman" w:cs="Times New Roman"/>
        </w:rPr>
        <w:t xml:space="preserve"> the requirement </w:t>
      </w:r>
      <w:r w:rsidR="00B667FB">
        <w:rPr>
          <w:rFonts w:ascii="Times New Roman" w:hAnsi="Times New Roman" w:cs="Times New Roman"/>
        </w:rPr>
        <w:t>of</w:t>
      </w:r>
      <w:r>
        <w:rPr>
          <w:rFonts w:ascii="Times New Roman" w:hAnsi="Times New Roman" w:cs="Times New Roman"/>
        </w:rPr>
        <w:t xml:space="preserve"> some discernable or unique effect </w:t>
      </w:r>
      <w:r w:rsidR="00B667FB">
        <w:rPr>
          <w:rFonts w:ascii="Times New Roman" w:hAnsi="Times New Roman" w:cs="Times New Roman"/>
        </w:rPr>
        <w:t xml:space="preserve">on the territorial jurisdiction.  The panel </w:t>
      </w:r>
      <w:r>
        <w:rPr>
          <w:rFonts w:ascii="Times New Roman" w:hAnsi="Times New Roman" w:cs="Times New Roman"/>
        </w:rPr>
        <w:t xml:space="preserve">held that US import regulations designed to encourage turtle-safe shrimping practices in the territorial water of third states </w:t>
      </w:r>
      <w:r w:rsidR="00E06B62">
        <w:rPr>
          <w:rFonts w:ascii="Times New Roman" w:hAnsi="Times New Roman" w:cs="Times New Roman"/>
        </w:rPr>
        <w:t>was permissible because the US</w:t>
      </w:r>
      <w:r>
        <w:rPr>
          <w:rFonts w:ascii="Times New Roman" w:hAnsi="Times New Roman" w:cs="Times New Roman"/>
        </w:rPr>
        <w:t xml:space="preserve"> was able to point to a migrant turtle population in its territorial waters that was being decimated by foreign shrimping nets, thus demonstrating an effect or nexus between specific harms felt in the regulating state and the extraterritorial resources.</w:t>
      </w:r>
      <w:r>
        <w:rPr>
          <w:rStyle w:val="FootnoteReference"/>
          <w:rFonts w:ascii="Times New Roman" w:hAnsi="Times New Roman" w:cs="Times New Roman"/>
        </w:rPr>
        <w:footnoteReference w:id="38"/>
      </w:r>
      <w:r w:rsidR="00B667FB">
        <w:rPr>
          <w:rFonts w:ascii="Times New Roman" w:hAnsi="Times New Roman" w:cs="Times New Roman"/>
        </w:rPr>
        <w:t xml:space="preserve">  </w:t>
      </w:r>
      <w:r w:rsidR="0048696E">
        <w:rPr>
          <w:rFonts w:ascii="Times New Roman" w:hAnsi="Times New Roman" w:cs="Times New Roman"/>
        </w:rPr>
        <w:t>Therefore</w:t>
      </w:r>
      <w:r w:rsidR="00E45172">
        <w:rPr>
          <w:rFonts w:ascii="Times New Roman" w:hAnsi="Times New Roman" w:cs="Times New Roman"/>
        </w:rPr>
        <w:t>, consistent with these examples</w:t>
      </w:r>
      <w:r w:rsidR="0048696E">
        <w:rPr>
          <w:rFonts w:ascii="Times New Roman" w:hAnsi="Times New Roman" w:cs="Times New Roman"/>
        </w:rPr>
        <w:t>, because the</w:t>
      </w:r>
      <w:r w:rsidR="00485F98">
        <w:rPr>
          <w:rFonts w:ascii="Times New Roman" w:hAnsi="Times New Roman" w:cs="Times New Roman"/>
        </w:rPr>
        <w:t xml:space="preserve"> </w:t>
      </w:r>
      <w:r w:rsidR="0048696E">
        <w:rPr>
          <w:rFonts w:ascii="Times New Roman" w:hAnsi="Times New Roman" w:cs="Times New Roman"/>
        </w:rPr>
        <w:t xml:space="preserve">effects that international aviation emissions have on the EU’s territory </w:t>
      </w:r>
      <w:r w:rsidR="00C42788">
        <w:rPr>
          <w:rFonts w:ascii="Times New Roman" w:hAnsi="Times New Roman" w:cs="Times New Roman"/>
        </w:rPr>
        <w:t>have not been shown to be</w:t>
      </w:r>
      <w:r w:rsidR="0048696E">
        <w:rPr>
          <w:rFonts w:ascii="Times New Roman" w:hAnsi="Times New Roman" w:cs="Times New Roman"/>
        </w:rPr>
        <w:t xml:space="preserve"> substantial or unique, t</w:t>
      </w:r>
      <w:r w:rsidR="005D6C2A">
        <w:rPr>
          <w:rFonts w:ascii="Times New Roman" w:hAnsi="Times New Roman" w:cs="Times New Roman"/>
        </w:rPr>
        <w:t xml:space="preserve">he </w:t>
      </w:r>
      <w:r w:rsidR="0048696E">
        <w:rPr>
          <w:rFonts w:ascii="Times New Roman" w:hAnsi="Times New Roman" w:cs="Times New Roman"/>
        </w:rPr>
        <w:t>Dire</w:t>
      </w:r>
      <w:r w:rsidR="00C42788">
        <w:rPr>
          <w:rFonts w:ascii="Times New Roman" w:hAnsi="Times New Roman" w:cs="Times New Roman"/>
        </w:rPr>
        <w:t xml:space="preserve">ctive does not comport with the “effects principle” under the </w:t>
      </w:r>
      <w:r w:rsidR="0048696E">
        <w:rPr>
          <w:rFonts w:ascii="Times New Roman" w:hAnsi="Times New Roman" w:cs="Times New Roman"/>
        </w:rPr>
        <w:t>Restatements.</w:t>
      </w:r>
    </w:p>
    <w:p w:rsidR="000F1952" w:rsidRDefault="00C42788" w:rsidP="006048C2">
      <w:pPr>
        <w:pStyle w:val="NoSpacing"/>
        <w:spacing w:line="480" w:lineRule="auto"/>
        <w:ind w:firstLine="720"/>
        <w:rPr>
          <w:rFonts w:ascii="Times New Roman" w:hAnsi="Times New Roman" w:cs="Times New Roman"/>
        </w:rPr>
      </w:pPr>
      <w:r>
        <w:rPr>
          <w:rFonts w:ascii="Times New Roman" w:hAnsi="Times New Roman" w:cs="Times New Roman"/>
        </w:rPr>
        <w:t>Nevertheless, the Directive find</w:t>
      </w:r>
      <w:r w:rsidR="00D360E0">
        <w:rPr>
          <w:rFonts w:ascii="Times New Roman" w:hAnsi="Times New Roman" w:cs="Times New Roman"/>
        </w:rPr>
        <w:t>s</w:t>
      </w:r>
      <w:r>
        <w:rPr>
          <w:rFonts w:ascii="Times New Roman" w:hAnsi="Times New Roman" w:cs="Times New Roman"/>
        </w:rPr>
        <w:t xml:space="preserve"> relief in another provision of the Restatement.  As stated above, the Restatement allows for </w:t>
      </w:r>
      <w:r w:rsidR="00D360E0">
        <w:rPr>
          <w:rFonts w:ascii="Times New Roman" w:hAnsi="Times New Roman" w:cs="Times New Roman"/>
        </w:rPr>
        <w:t xml:space="preserve">the regulation of </w:t>
      </w:r>
      <w:r>
        <w:rPr>
          <w:rFonts w:ascii="Times New Roman" w:hAnsi="Times New Roman" w:cs="Times New Roman"/>
        </w:rPr>
        <w:t xml:space="preserve">extraterritorial </w:t>
      </w:r>
      <w:r w:rsidR="00D360E0">
        <w:rPr>
          <w:rFonts w:ascii="Times New Roman" w:hAnsi="Times New Roman" w:cs="Times New Roman"/>
        </w:rPr>
        <w:t>acts when it either</w:t>
      </w:r>
      <w:r>
        <w:rPr>
          <w:rFonts w:ascii="Times New Roman" w:hAnsi="Times New Roman" w:cs="Times New Roman"/>
        </w:rPr>
        <w:t xml:space="preserve"> “</w:t>
      </w:r>
      <w:r w:rsidRPr="000E6BC5">
        <w:rPr>
          <w:rFonts w:ascii="Times New Roman" w:hAnsi="Times New Roman" w:cs="Times New Roman"/>
        </w:rPr>
        <w:t>wholly or in substantial part, takes place within its territory</w:t>
      </w:r>
      <w:r>
        <w:rPr>
          <w:rFonts w:ascii="Times New Roman" w:hAnsi="Times New Roman" w:cs="Times New Roman"/>
        </w:rPr>
        <w:t>.”</w:t>
      </w:r>
      <w:r w:rsidR="00D360E0">
        <w:rPr>
          <w:rStyle w:val="FootnoteReference"/>
          <w:rFonts w:ascii="Times New Roman" w:hAnsi="Times New Roman" w:cs="Times New Roman"/>
        </w:rPr>
        <w:footnoteReference w:id="39"/>
      </w:r>
      <w:r>
        <w:rPr>
          <w:rFonts w:ascii="Times New Roman" w:hAnsi="Times New Roman" w:cs="Times New Roman"/>
        </w:rPr>
        <w:t xml:space="preserve"> </w:t>
      </w:r>
      <w:r w:rsidR="00D360E0">
        <w:rPr>
          <w:rFonts w:ascii="Times New Roman" w:hAnsi="Times New Roman" w:cs="Times New Roman"/>
        </w:rPr>
        <w:t xml:space="preserve"> In </w:t>
      </w:r>
      <w:r w:rsidR="000F1952">
        <w:rPr>
          <w:rFonts w:ascii="Times New Roman" w:hAnsi="Times New Roman" w:cs="Times New Roman"/>
        </w:rPr>
        <w:t>this case</w:t>
      </w:r>
      <w:r w:rsidR="00D360E0">
        <w:rPr>
          <w:rFonts w:ascii="Times New Roman" w:hAnsi="Times New Roman" w:cs="Times New Roman"/>
        </w:rPr>
        <w:t>, the departure and arrival of internat</w:t>
      </w:r>
      <w:r w:rsidR="000F1952">
        <w:rPr>
          <w:rFonts w:ascii="Times New Roman" w:hAnsi="Times New Roman" w:cs="Times New Roman"/>
        </w:rPr>
        <w:t>ional aircraft clearly take</w:t>
      </w:r>
      <w:r w:rsidR="00D360E0">
        <w:rPr>
          <w:rFonts w:ascii="Times New Roman" w:hAnsi="Times New Roman" w:cs="Times New Roman"/>
        </w:rPr>
        <w:t xml:space="preserve"> place within the EU’s territorial jurisdiction; and </w:t>
      </w:r>
      <w:r w:rsidR="000F1952">
        <w:rPr>
          <w:rFonts w:ascii="Times New Roman" w:hAnsi="Times New Roman" w:cs="Times New Roman"/>
        </w:rPr>
        <w:t xml:space="preserve">notably </w:t>
      </w:r>
      <w:r w:rsidR="00D360E0">
        <w:rPr>
          <w:rFonts w:ascii="Times New Roman" w:hAnsi="Times New Roman" w:cs="Times New Roman"/>
        </w:rPr>
        <w:t xml:space="preserve">it is only these acts that trigger the Directive’s requirements. </w:t>
      </w:r>
      <w:r w:rsidR="000F1952">
        <w:rPr>
          <w:rFonts w:ascii="Times New Roman" w:hAnsi="Times New Roman" w:cs="Times New Roman"/>
        </w:rPr>
        <w:t xml:space="preserve"> T</w:t>
      </w:r>
      <w:r w:rsidR="00D360E0">
        <w:rPr>
          <w:rFonts w:ascii="Times New Roman" w:hAnsi="Times New Roman" w:cs="Times New Roman"/>
        </w:rPr>
        <w:t xml:space="preserve">he landing and departure </w:t>
      </w:r>
      <w:r w:rsidR="000F1952">
        <w:rPr>
          <w:rFonts w:ascii="Times New Roman" w:hAnsi="Times New Roman" w:cs="Times New Roman"/>
        </w:rPr>
        <w:t xml:space="preserve">of any flight constitute a substantial aspect thereof and in </w:t>
      </w:r>
      <w:r w:rsidR="00D360E0">
        <w:rPr>
          <w:rFonts w:ascii="Times New Roman" w:hAnsi="Times New Roman" w:cs="Times New Roman"/>
        </w:rPr>
        <w:t xml:space="preserve">many cases </w:t>
      </w:r>
      <w:r w:rsidR="00B33304">
        <w:rPr>
          <w:rFonts w:ascii="Times New Roman" w:hAnsi="Times New Roman" w:cs="Times New Roman"/>
        </w:rPr>
        <w:t>is the reason</w:t>
      </w:r>
      <w:r w:rsidR="000F1952">
        <w:rPr>
          <w:rFonts w:ascii="Times New Roman" w:hAnsi="Times New Roman" w:cs="Times New Roman"/>
        </w:rPr>
        <w:t xml:space="preserve"> for the flight in the first place.</w:t>
      </w:r>
      <w:r w:rsidR="00D360E0">
        <w:rPr>
          <w:rFonts w:ascii="Times New Roman" w:hAnsi="Times New Roman" w:cs="Times New Roman"/>
          <w:i/>
        </w:rPr>
        <w:t xml:space="preserve"> </w:t>
      </w:r>
      <w:r w:rsidR="00D360E0">
        <w:rPr>
          <w:rFonts w:ascii="Times New Roman" w:hAnsi="Times New Roman" w:cs="Times New Roman"/>
        </w:rPr>
        <w:t xml:space="preserve">  As such, it is this territorial nexus that provi</w:t>
      </w:r>
      <w:r w:rsidR="000F1952">
        <w:rPr>
          <w:rFonts w:ascii="Times New Roman" w:hAnsi="Times New Roman" w:cs="Times New Roman"/>
        </w:rPr>
        <w:t>des the Directive a solid foundation</w:t>
      </w:r>
      <w:r w:rsidR="00D360E0">
        <w:rPr>
          <w:rFonts w:ascii="Times New Roman" w:hAnsi="Times New Roman" w:cs="Times New Roman"/>
        </w:rPr>
        <w:t xml:space="preserve">. </w:t>
      </w:r>
      <w:r w:rsidR="00DF14A3">
        <w:rPr>
          <w:rFonts w:ascii="Times New Roman" w:hAnsi="Times New Roman" w:cs="Times New Roman"/>
        </w:rPr>
        <w:t xml:space="preserve"> </w:t>
      </w:r>
    </w:p>
    <w:p w:rsidR="006A66E7" w:rsidRDefault="000F1952" w:rsidP="006048C2">
      <w:pPr>
        <w:pStyle w:val="NoSpacing"/>
        <w:spacing w:line="480" w:lineRule="auto"/>
        <w:ind w:firstLine="720"/>
        <w:rPr>
          <w:rFonts w:ascii="Times New Roman" w:hAnsi="Times New Roman" w:cs="Times New Roman"/>
        </w:rPr>
      </w:pPr>
      <w:r>
        <w:rPr>
          <w:rFonts w:ascii="Times New Roman" w:hAnsi="Times New Roman" w:cs="Times New Roman"/>
        </w:rPr>
        <w:t>In this sense, the Directive can be seen as only having an indirect impact on third countries.  It only impacts those air carriers and individuals who desire to land in EU territory.</w:t>
      </w:r>
      <w:r w:rsidR="00DF14A3">
        <w:rPr>
          <w:rFonts w:ascii="Times New Roman" w:hAnsi="Times New Roman" w:cs="Times New Roman"/>
        </w:rPr>
        <w:t xml:space="preserve">  </w:t>
      </w:r>
      <w:r>
        <w:rPr>
          <w:rFonts w:ascii="Times New Roman" w:hAnsi="Times New Roman" w:cs="Times New Roman"/>
        </w:rPr>
        <w:t>There is no attempt to</w:t>
      </w:r>
      <w:r w:rsidR="006A66E7">
        <w:rPr>
          <w:rFonts w:ascii="Times New Roman" w:hAnsi="Times New Roman" w:cs="Times New Roman"/>
        </w:rPr>
        <w:t xml:space="preserve"> exercise sovereign authority over foreign </w:t>
      </w:r>
      <w:r>
        <w:rPr>
          <w:rFonts w:ascii="Times New Roman" w:hAnsi="Times New Roman" w:cs="Times New Roman"/>
        </w:rPr>
        <w:t xml:space="preserve">over third countries or over the high seas.  These aircraft are under no operating restrictions; however, once the aircraft operator </w:t>
      </w:r>
      <w:r w:rsidR="001223A3">
        <w:rPr>
          <w:rFonts w:ascii="Times New Roman" w:hAnsi="Times New Roman" w:cs="Times New Roman"/>
        </w:rPr>
        <w:t>decides to arrive or depart from</w:t>
      </w:r>
      <w:r>
        <w:rPr>
          <w:rFonts w:ascii="Times New Roman" w:hAnsi="Times New Roman" w:cs="Times New Roman"/>
        </w:rPr>
        <w:t xml:space="preserve"> EU territory the </w:t>
      </w:r>
      <w:r w:rsidR="00FD42C1">
        <w:rPr>
          <w:rFonts w:ascii="Times New Roman" w:hAnsi="Times New Roman" w:cs="Times New Roman"/>
        </w:rPr>
        <w:t>D</w:t>
      </w:r>
      <w:r>
        <w:rPr>
          <w:rFonts w:ascii="Times New Roman" w:hAnsi="Times New Roman" w:cs="Times New Roman"/>
        </w:rPr>
        <w:t xml:space="preserve">irective will take effect. </w:t>
      </w:r>
      <w:r w:rsidR="001223A3">
        <w:rPr>
          <w:rFonts w:ascii="Times New Roman" w:hAnsi="Times New Roman" w:cs="Times New Roman"/>
        </w:rPr>
        <w:t>Therefore, the EU is exercising jurisdiction in its own territory for acts which have occurred on the high seas or over a third state.</w:t>
      </w:r>
      <w:r w:rsidR="006A66E7">
        <w:rPr>
          <w:rStyle w:val="FootnoteReference"/>
          <w:rFonts w:ascii="Times New Roman" w:hAnsi="Times New Roman" w:cs="Times New Roman"/>
        </w:rPr>
        <w:footnoteReference w:id="40"/>
      </w:r>
    </w:p>
    <w:p w:rsidR="006A66E7" w:rsidRDefault="006A66E7" w:rsidP="006048C2">
      <w:pPr>
        <w:pStyle w:val="NoSpacing"/>
        <w:spacing w:line="480" w:lineRule="auto"/>
        <w:ind w:firstLine="720"/>
        <w:rPr>
          <w:rFonts w:ascii="Times New Roman" w:hAnsi="Times New Roman" w:cs="Times New Roman"/>
        </w:rPr>
      </w:pPr>
    </w:p>
    <w:p w:rsidR="008B20A0" w:rsidRDefault="001223A3" w:rsidP="006048C2">
      <w:pPr>
        <w:pStyle w:val="NoSpacing"/>
        <w:spacing w:line="480" w:lineRule="auto"/>
        <w:ind w:firstLine="720"/>
        <w:rPr>
          <w:rFonts w:ascii="Times New Roman" w:hAnsi="Times New Roman" w:cs="Times New Roman"/>
        </w:rPr>
      </w:pPr>
      <w:r>
        <w:rPr>
          <w:rFonts w:ascii="Times New Roman" w:hAnsi="Times New Roman" w:cs="Times New Roman"/>
        </w:rPr>
        <w:t xml:space="preserve">Instances of similar conduct include </w:t>
      </w:r>
      <w:r w:rsidR="006A66E7">
        <w:rPr>
          <w:rFonts w:ascii="Times New Roman" w:hAnsi="Times New Roman" w:cs="Times New Roman"/>
        </w:rPr>
        <w:t xml:space="preserve">the accelerated phasing-in of </w:t>
      </w:r>
      <w:r>
        <w:rPr>
          <w:rFonts w:ascii="Times New Roman" w:hAnsi="Times New Roman" w:cs="Times New Roman"/>
        </w:rPr>
        <w:t xml:space="preserve">the </w:t>
      </w:r>
      <w:r w:rsidR="006A66E7">
        <w:rPr>
          <w:rFonts w:ascii="Times New Roman" w:hAnsi="Times New Roman" w:cs="Times New Roman"/>
        </w:rPr>
        <w:t>double hull design requirements for single hull oil tankers</w:t>
      </w:r>
      <w:r>
        <w:rPr>
          <w:rFonts w:ascii="Times New Roman" w:hAnsi="Times New Roman" w:cs="Times New Roman"/>
        </w:rPr>
        <w:t>.  This act did not</w:t>
      </w:r>
      <w:r w:rsidR="006A66E7">
        <w:rPr>
          <w:rFonts w:ascii="Times New Roman" w:hAnsi="Times New Roman" w:cs="Times New Roman"/>
        </w:rPr>
        <w:t xml:space="preserve"> assert extraterritorial jurisdiction over oil takers when they </w:t>
      </w:r>
      <w:r>
        <w:rPr>
          <w:rFonts w:ascii="Times New Roman" w:hAnsi="Times New Roman" w:cs="Times New Roman"/>
        </w:rPr>
        <w:t>were</w:t>
      </w:r>
      <w:r w:rsidR="006A66E7">
        <w:rPr>
          <w:rFonts w:ascii="Times New Roman" w:hAnsi="Times New Roman" w:cs="Times New Roman"/>
        </w:rPr>
        <w:t xml:space="preserve"> on the high seas or docked in ports of third countries.  It merely imposes a requirement that they must comply with certain conditions if they are to dock</w:t>
      </w:r>
      <w:r>
        <w:rPr>
          <w:rFonts w:ascii="Times New Roman" w:hAnsi="Times New Roman" w:cs="Times New Roman"/>
        </w:rPr>
        <w:t xml:space="preserve"> in EU</w:t>
      </w:r>
      <w:r w:rsidR="006A66E7">
        <w:rPr>
          <w:rFonts w:ascii="Times New Roman" w:hAnsi="Times New Roman" w:cs="Times New Roman"/>
        </w:rPr>
        <w:t xml:space="preserve"> </w:t>
      </w:r>
      <w:r>
        <w:rPr>
          <w:rFonts w:ascii="Times New Roman" w:hAnsi="Times New Roman" w:cs="Times New Roman"/>
        </w:rPr>
        <w:t>ports or terminals</w:t>
      </w:r>
      <w:r w:rsidR="006A66E7">
        <w:rPr>
          <w:rFonts w:ascii="Times New Roman" w:hAnsi="Times New Roman" w:cs="Times New Roman"/>
        </w:rPr>
        <w:t>.</w:t>
      </w:r>
      <w:r>
        <w:rPr>
          <w:rFonts w:ascii="Times New Roman" w:hAnsi="Times New Roman" w:cs="Times New Roman"/>
        </w:rPr>
        <w:t xml:space="preserve"> Further instances of similar measure include regulations regarding the shipment of waste and the protection of wild fauna and flora. </w:t>
      </w:r>
      <w:r w:rsidR="006A66E7">
        <w:rPr>
          <w:rFonts w:ascii="Times New Roman" w:hAnsi="Times New Roman" w:cs="Times New Roman"/>
        </w:rPr>
        <w:t xml:space="preserve">Both measures impose prohibitions on importing certain protected products into the EU, or stipulate that imports may be made only where certain conditions have been met. </w:t>
      </w:r>
      <w:r>
        <w:rPr>
          <w:rFonts w:ascii="Times New Roman" w:hAnsi="Times New Roman" w:cs="Times New Roman"/>
        </w:rPr>
        <w:t xml:space="preserve"> T</w:t>
      </w:r>
      <w:r w:rsidR="006A66E7">
        <w:rPr>
          <w:rFonts w:ascii="Times New Roman" w:hAnsi="Times New Roman" w:cs="Times New Roman"/>
        </w:rPr>
        <w:t xml:space="preserve">hese regulations have an impact on </w:t>
      </w:r>
      <w:r>
        <w:rPr>
          <w:rFonts w:ascii="Times New Roman" w:hAnsi="Times New Roman" w:cs="Times New Roman"/>
        </w:rPr>
        <w:t>operators that want to come to the EU</w:t>
      </w:r>
      <w:r w:rsidR="006A66E7">
        <w:rPr>
          <w:rFonts w:ascii="Times New Roman" w:hAnsi="Times New Roman" w:cs="Times New Roman"/>
        </w:rPr>
        <w:t>, they do not assert extraterritorial jurisdiction over these product</w:t>
      </w:r>
      <w:r w:rsidR="00B276BF">
        <w:rPr>
          <w:rFonts w:ascii="Times New Roman" w:hAnsi="Times New Roman" w:cs="Times New Roman"/>
        </w:rPr>
        <w:t>s or actions</w:t>
      </w:r>
      <w:r w:rsidR="006A66E7">
        <w:rPr>
          <w:rFonts w:ascii="Times New Roman" w:hAnsi="Times New Roman" w:cs="Times New Roman"/>
        </w:rPr>
        <w:t xml:space="preserve"> when they are in third countries or being transported over the high seas.</w:t>
      </w:r>
      <w:r w:rsidR="006A66E7">
        <w:rPr>
          <w:rStyle w:val="FootnoteReference"/>
          <w:rFonts w:ascii="Times New Roman" w:hAnsi="Times New Roman" w:cs="Times New Roman"/>
        </w:rPr>
        <w:footnoteReference w:id="41"/>
      </w:r>
    </w:p>
    <w:p w:rsidR="001C3ED9" w:rsidRDefault="00B81120" w:rsidP="006048C2">
      <w:pPr>
        <w:pStyle w:val="NoSpacing"/>
        <w:spacing w:line="480" w:lineRule="auto"/>
        <w:ind w:firstLine="720"/>
        <w:rPr>
          <w:rFonts w:ascii="Times New Roman" w:hAnsi="Times New Roman" w:cs="Times New Roman"/>
        </w:rPr>
      </w:pPr>
      <w:r>
        <w:rPr>
          <w:rFonts w:ascii="Times New Roman" w:hAnsi="Times New Roman" w:cs="Times New Roman"/>
        </w:rPr>
        <w:t xml:space="preserve">The final part of the analysis is whether it is “reasonable” </w:t>
      </w:r>
      <w:r w:rsidR="006C7DEA">
        <w:rPr>
          <w:rFonts w:ascii="Times New Roman" w:hAnsi="Times New Roman" w:cs="Times New Roman"/>
        </w:rPr>
        <w:t>for</w:t>
      </w:r>
      <w:r>
        <w:rPr>
          <w:rFonts w:ascii="Times New Roman" w:hAnsi="Times New Roman" w:cs="Times New Roman"/>
        </w:rPr>
        <w:t xml:space="preserve"> the EU to enact the Directive; and overall </w:t>
      </w:r>
      <w:r w:rsidR="006C7DEA">
        <w:rPr>
          <w:rFonts w:ascii="Times New Roman" w:hAnsi="Times New Roman" w:cs="Times New Roman"/>
        </w:rPr>
        <w:t>the scale tips in the</w:t>
      </w:r>
      <w:r>
        <w:rPr>
          <w:rFonts w:ascii="Times New Roman" w:hAnsi="Times New Roman" w:cs="Times New Roman"/>
        </w:rPr>
        <w:t xml:space="preserve"> EU</w:t>
      </w:r>
      <w:r w:rsidR="006C7DEA">
        <w:rPr>
          <w:rFonts w:ascii="Times New Roman" w:hAnsi="Times New Roman" w:cs="Times New Roman"/>
        </w:rPr>
        <w:t>’s favor</w:t>
      </w:r>
      <w:r>
        <w:rPr>
          <w:rFonts w:ascii="Times New Roman" w:hAnsi="Times New Roman" w:cs="Times New Roman"/>
        </w:rPr>
        <w:t xml:space="preserve">.  </w:t>
      </w:r>
      <w:r w:rsidR="001C3ED9">
        <w:rPr>
          <w:rFonts w:ascii="Times New Roman" w:hAnsi="Times New Roman" w:cs="Times New Roman"/>
        </w:rPr>
        <w:t xml:space="preserve">The starting point is that the reach of the Directive is limited.  It does not apply to all aspects of global aviation but rather only flights that arrive or depart in the EU.  </w:t>
      </w:r>
      <w:r>
        <w:rPr>
          <w:rFonts w:ascii="Times New Roman" w:hAnsi="Times New Roman" w:cs="Times New Roman"/>
        </w:rPr>
        <w:t>The EU has an interest in extending this regulation to international carrier</w:t>
      </w:r>
      <w:r w:rsidR="006C7DEA">
        <w:rPr>
          <w:rFonts w:ascii="Times New Roman" w:hAnsi="Times New Roman" w:cs="Times New Roman"/>
        </w:rPr>
        <w:t>s</w:t>
      </w:r>
      <w:r>
        <w:rPr>
          <w:rFonts w:ascii="Times New Roman" w:hAnsi="Times New Roman" w:cs="Times New Roman"/>
        </w:rPr>
        <w:t xml:space="preserve"> because, as described above, applying this measure only to EU carriers would give international carriers a competitive advantage and undermine the Directive’s pur</w:t>
      </w:r>
      <w:r w:rsidR="0076056B">
        <w:rPr>
          <w:rFonts w:ascii="Times New Roman" w:hAnsi="Times New Roman" w:cs="Times New Roman"/>
        </w:rPr>
        <w:t xml:space="preserve">pose.  </w:t>
      </w:r>
      <w:r w:rsidR="00FD787D">
        <w:rPr>
          <w:rFonts w:ascii="Times New Roman" w:hAnsi="Times New Roman" w:cs="Times New Roman"/>
        </w:rPr>
        <w:t>Notwithstanding the inability to quantify the exact impact that global aviation is having on the environment, given</w:t>
      </w:r>
      <w:r>
        <w:rPr>
          <w:rFonts w:ascii="Times New Roman" w:hAnsi="Times New Roman" w:cs="Times New Roman"/>
        </w:rPr>
        <w:t xml:space="preserve"> the consequences of climate change on the EU it is reasonable that the EU would enact some legislation to combat it. </w:t>
      </w:r>
      <w:r w:rsidR="006C7DEA">
        <w:rPr>
          <w:rFonts w:ascii="Times New Roman" w:hAnsi="Times New Roman" w:cs="Times New Roman"/>
        </w:rPr>
        <w:t xml:space="preserve"> Notably, this Directive is part of a larger effort by th</w:t>
      </w:r>
      <w:r w:rsidR="00665F4E">
        <w:rPr>
          <w:rFonts w:ascii="Times New Roman" w:hAnsi="Times New Roman" w:cs="Times New Roman"/>
        </w:rPr>
        <w:t xml:space="preserve">e EU to mitigate climate change and is not an isolated piece of legislation impacting only foreign carriers. </w:t>
      </w:r>
      <w:r>
        <w:rPr>
          <w:rFonts w:ascii="Times New Roman" w:hAnsi="Times New Roman" w:cs="Times New Roman"/>
        </w:rPr>
        <w:t xml:space="preserve">  </w:t>
      </w:r>
    </w:p>
    <w:p w:rsidR="00607BB2" w:rsidRDefault="001C3ED9" w:rsidP="006048C2">
      <w:pPr>
        <w:pStyle w:val="NoSpacing"/>
        <w:spacing w:line="480" w:lineRule="auto"/>
        <w:ind w:firstLine="720"/>
        <w:rPr>
          <w:rFonts w:ascii="Times New Roman" w:hAnsi="Times New Roman" w:cs="Times New Roman"/>
        </w:rPr>
      </w:pPr>
      <w:r>
        <w:rPr>
          <w:rFonts w:ascii="Times New Roman" w:hAnsi="Times New Roman" w:cs="Times New Roman"/>
        </w:rPr>
        <w:t>In terms of a conflict with other climate legislation,</w:t>
      </w:r>
      <w:r w:rsidR="00B81120">
        <w:rPr>
          <w:rFonts w:ascii="Times New Roman" w:hAnsi="Times New Roman" w:cs="Times New Roman"/>
        </w:rPr>
        <w:t xml:space="preserve"> in the 11 years </w:t>
      </w:r>
      <w:r w:rsidR="006C7DEA">
        <w:rPr>
          <w:rFonts w:ascii="Times New Roman" w:hAnsi="Times New Roman" w:cs="Times New Roman"/>
        </w:rPr>
        <w:t>that</w:t>
      </w:r>
      <w:r w:rsidR="00B81120">
        <w:rPr>
          <w:rFonts w:ascii="Times New Roman" w:hAnsi="Times New Roman" w:cs="Times New Roman"/>
        </w:rPr>
        <w:t xml:space="preserve"> ICAO </w:t>
      </w:r>
      <w:r w:rsidR="006C7DEA">
        <w:rPr>
          <w:rFonts w:ascii="Times New Roman" w:hAnsi="Times New Roman" w:cs="Times New Roman"/>
        </w:rPr>
        <w:t xml:space="preserve">has been called upon by the Kyoto Protocol to develop a comprehensive plan to combat </w:t>
      </w:r>
      <w:r w:rsidR="00710E51">
        <w:rPr>
          <w:rFonts w:ascii="Times New Roman" w:hAnsi="Times New Roman" w:cs="Times New Roman"/>
        </w:rPr>
        <w:t>green house gas emissions</w:t>
      </w:r>
      <w:r w:rsidR="006C7DEA">
        <w:rPr>
          <w:rFonts w:ascii="Times New Roman" w:hAnsi="Times New Roman" w:cs="Times New Roman"/>
        </w:rPr>
        <w:t xml:space="preserve"> related to aviation</w:t>
      </w:r>
      <w:r>
        <w:rPr>
          <w:rFonts w:ascii="Times New Roman" w:hAnsi="Times New Roman" w:cs="Times New Roman"/>
        </w:rPr>
        <w:t>, nothing has been done; and thus the</w:t>
      </w:r>
      <w:r w:rsidR="006C7DEA">
        <w:rPr>
          <w:rFonts w:ascii="Times New Roman" w:hAnsi="Times New Roman" w:cs="Times New Roman"/>
        </w:rPr>
        <w:t xml:space="preserve"> Directive does not conflict with any other existing regulation</w:t>
      </w:r>
      <w:r>
        <w:rPr>
          <w:rFonts w:ascii="Times New Roman" w:hAnsi="Times New Roman" w:cs="Times New Roman"/>
        </w:rPr>
        <w:t xml:space="preserve">s.  </w:t>
      </w:r>
      <w:r w:rsidR="0076056B">
        <w:rPr>
          <w:rFonts w:ascii="Times New Roman" w:hAnsi="Times New Roman" w:cs="Times New Roman"/>
        </w:rPr>
        <w:t xml:space="preserve">This factor strongly cuts in favor of </w:t>
      </w:r>
      <w:r w:rsidR="00FD787D">
        <w:rPr>
          <w:rFonts w:ascii="Times New Roman" w:hAnsi="Times New Roman" w:cs="Times New Roman"/>
        </w:rPr>
        <w:t xml:space="preserve">the Directive’s reasonableness.  </w:t>
      </w:r>
      <w:r>
        <w:rPr>
          <w:rFonts w:ascii="Times New Roman" w:hAnsi="Times New Roman" w:cs="Times New Roman"/>
        </w:rPr>
        <w:t>Moreover, and as</w:t>
      </w:r>
      <w:r w:rsidR="00665F4E">
        <w:rPr>
          <w:rFonts w:ascii="Times New Roman" w:hAnsi="Times New Roman" w:cs="Times New Roman"/>
        </w:rPr>
        <w:t xml:space="preserve"> described above, i</w:t>
      </w:r>
      <w:r>
        <w:rPr>
          <w:rFonts w:ascii="Times New Roman" w:hAnsi="Times New Roman" w:cs="Times New Roman"/>
        </w:rPr>
        <w:t>f a third country passes similar legislation, the Directive is designed to take such</w:t>
      </w:r>
      <w:r w:rsidR="00665F4E">
        <w:rPr>
          <w:rFonts w:ascii="Times New Roman" w:hAnsi="Times New Roman" w:cs="Times New Roman"/>
        </w:rPr>
        <w:t xml:space="preserve"> regulation into consideration in hopes of creating a global scheme for emissions trading.  </w:t>
      </w:r>
      <w:r w:rsidR="0076056B">
        <w:rPr>
          <w:rFonts w:ascii="Times New Roman" w:hAnsi="Times New Roman" w:cs="Times New Roman"/>
        </w:rPr>
        <w:t>In a perfect world one might imagine that the last four years would</w:t>
      </w:r>
      <w:r w:rsidR="00FD787D">
        <w:rPr>
          <w:rFonts w:ascii="Times New Roman" w:hAnsi="Times New Roman" w:cs="Times New Roman"/>
        </w:rPr>
        <w:t xml:space="preserve"> have</w:t>
      </w:r>
      <w:r w:rsidR="0076056B">
        <w:rPr>
          <w:rFonts w:ascii="Times New Roman" w:hAnsi="Times New Roman" w:cs="Times New Roman"/>
        </w:rPr>
        <w:t xml:space="preserve"> be</w:t>
      </w:r>
      <w:r w:rsidR="00FD787D">
        <w:rPr>
          <w:rFonts w:ascii="Times New Roman" w:hAnsi="Times New Roman" w:cs="Times New Roman"/>
        </w:rPr>
        <w:t>en</w:t>
      </w:r>
      <w:r w:rsidR="0076056B">
        <w:rPr>
          <w:rFonts w:ascii="Times New Roman" w:hAnsi="Times New Roman" w:cs="Times New Roman"/>
        </w:rPr>
        <w:t xml:space="preserve"> spent by other states coming up with their own respective schemes in an effort to dovetail them with the EU Directive.  Unfortunately, that has not been the case.  In fact, in response to this measure, international airlines have filed a lawsuit attacking the Directive.  Most indicative of the animosity toward the Directive is the action taken by the US Congress to make it illegal for US carriers to comply with the Directive.</w:t>
      </w:r>
      <w:r w:rsidR="00FD787D">
        <w:rPr>
          <w:rStyle w:val="FootnoteReference"/>
          <w:rFonts w:ascii="Times New Roman" w:hAnsi="Times New Roman" w:cs="Times New Roman"/>
        </w:rPr>
        <w:footnoteReference w:id="42"/>
      </w:r>
      <w:r w:rsidR="00FD787D">
        <w:rPr>
          <w:rFonts w:ascii="Times New Roman" w:hAnsi="Times New Roman" w:cs="Times New Roman"/>
        </w:rPr>
        <w:t xml:space="preserve">  </w:t>
      </w:r>
      <w:r w:rsidR="0076056B">
        <w:rPr>
          <w:rFonts w:ascii="Times New Roman" w:hAnsi="Times New Roman" w:cs="Times New Roman"/>
        </w:rPr>
        <w:t xml:space="preserve">In light of these efforts to attack the Directive, it is </w:t>
      </w:r>
      <w:r w:rsidR="00FD787D">
        <w:rPr>
          <w:rFonts w:ascii="Times New Roman" w:hAnsi="Times New Roman" w:cs="Times New Roman"/>
        </w:rPr>
        <w:t xml:space="preserve">unclear whether the Directive, </w:t>
      </w:r>
      <w:r w:rsidR="00FD787D" w:rsidRPr="00FD787D">
        <w:rPr>
          <w:rFonts w:ascii="Times New Roman" w:hAnsi="Times New Roman" w:cs="Times New Roman"/>
          <w:i/>
        </w:rPr>
        <w:t>reasonable or not</w:t>
      </w:r>
      <w:r w:rsidR="00FD787D">
        <w:rPr>
          <w:rFonts w:ascii="Times New Roman" w:hAnsi="Times New Roman" w:cs="Times New Roman"/>
        </w:rPr>
        <w:t>, will actually take effect.</w:t>
      </w:r>
    </w:p>
    <w:p w:rsidR="00607BB2" w:rsidRDefault="00607BB2" w:rsidP="006048C2">
      <w:pPr>
        <w:pStyle w:val="NoSpacing"/>
        <w:spacing w:line="480" w:lineRule="auto"/>
        <w:ind w:firstLine="720"/>
        <w:rPr>
          <w:rFonts w:ascii="Times New Roman" w:hAnsi="Times New Roman" w:cs="Times New Roman"/>
        </w:rPr>
      </w:pPr>
    </w:p>
    <w:p w:rsidR="00B81120" w:rsidRDefault="005A30E5" w:rsidP="006048C2">
      <w:pPr>
        <w:pStyle w:val="NoSpacing"/>
        <w:spacing w:line="480" w:lineRule="auto"/>
        <w:ind w:firstLine="720"/>
        <w:rPr>
          <w:rFonts w:ascii="Times New Roman" w:hAnsi="Times New Roman" w:cs="Times New Roman"/>
        </w:rPr>
      </w:pPr>
      <w:r>
        <w:rPr>
          <w:rFonts w:ascii="Times New Roman" w:hAnsi="Times New Roman" w:cs="Times New Roman"/>
        </w:rPr>
        <w:t xml:space="preserve"> </w:t>
      </w:r>
    </w:p>
    <w:p w:rsidR="0022241F" w:rsidRDefault="0022241F" w:rsidP="006048C2">
      <w:pPr>
        <w:pStyle w:val="NoSpacing"/>
        <w:spacing w:line="480" w:lineRule="auto"/>
        <w:ind w:firstLine="720"/>
        <w:rPr>
          <w:rFonts w:ascii="Times New Roman" w:hAnsi="Times New Roman" w:cs="Times New Roman"/>
        </w:rPr>
      </w:pPr>
    </w:p>
    <w:p w:rsidR="00001C86" w:rsidRDefault="00001C86" w:rsidP="006048C2">
      <w:pPr>
        <w:pStyle w:val="NoSpacing"/>
        <w:spacing w:line="480" w:lineRule="auto"/>
        <w:ind w:firstLine="720"/>
        <w:rPr>
          <w:rFonts w:ascii="Times New Roman" w:hAnsi="Times New Roman" w:cs="Times New Roman"/>
        </w:rPr>
      </w:pPr>
    </w:p>
    <w:p w:rsidR="00001C86" w:rsidRDefault="00001C86" w:rsidP="006048C2">
      <w:pPr>
        <w:pStyle w:val="NoSpacing"/>
        <w:spacing w:line="480" w:lineRule="auto"/>
        <w:ind w:firstLine="720"/>
        <w:rPr>
          <w:rFonts w:ascii="Times New Roman" w:hAnsi="Times New Roman" w:cs="Times New Roman"/>
        </w:rPr>
      </w:pPr>
    </w:p>
    <w:p w:rsidR="00573A90" w:rsidRDefault="00573A90" w:rsidP="006048C2">
      <w:pPr>
        <w:pStyle w:val="NoSpacing"/>
        <w:spacing w:line="480" w:lineRule="auto"/>
        <w:rPr>
          <w:rFonts w:ascii="Times New Roman" w:hAnsi="Times New Roman" w:cs="Times New Roman"/>
        </w:rPr>
      </w:pPr>
    </w:p>
    <w:p w:rsidR="00706869" w:rsidRDefault="00706869" w:rsidP="006048C2">
      <w:pPr>
        <w:pStyle w:val="NoSpacing"/>
        <w:spacing w:line="480" w:lineRule="auto"/>
        <w:rPr>
          <w:rFonts w:ascii="Times New Roman" w:hAnsi="Times New Roman" w:cs="Times New Roman"/>
        </w:rPr>
      </w:pPr>
    </w:p>
    <w:p w:rsidR="00706869" w:rsidRPr="001A1709" w:rsidRDefault="00706869" w:rsidP="006048C2">
      <w:pPr>
        <w:pStyle w:val="NoSpacing"/>
        <w:spacing w:line="480" w:lineRule="auto"/>
        <w:rPr>
          <w:rFonts w:ascii="Times New Roman" w:hAnsi="Times New Roman" w:cs="Times New Roman"/>
        </w:rPr>
      </w:pPr>
      <w:r w:rsidRPr="001A1709">
        <w:rPr>
          <w:rFonts w:ascii="Times New Roman" w:hAnsi="Times New Roman" w:cs="Times New Roman"/>
        </w:rPr>
        <w:t xml:space="preserve">Bibliography </w:t>
      </w:r>
    </w:p>
    <w:p w:rsidR="001A1709" w:rsidRPr="001A1709" w:rsidRDefault="001A1709" w:rsidP="006048C2">
      <w:pPr>
        <w:pStyle w:val="NoSpacing"/>
        <w:spacing w:line="480" w:lineRule="auto"/>
        <w:rPr>
          <w:rFonts w:ascii="Times New Roman" w:hAnsi="Times New Roman" w:cs="Times New Roman"/>
        </w:rPr>
      </w:pPr>
      <w:r w:rsidRPr="001A1709">
        <w:rPr>
          <w:rFonts w:ascii="Times New Roman" w:hAnsi="Times New Roman" w:cs="Times New Roman"/>
        </w:rPr>
        <w:t>Treaties</w:t>
      </w:r>
    </w:p>
    <w:p w:rsidR="001A1709" w:rsidRPr="001A1709" w:rsidRDefault="001A1709" w:rsidP="001A1709">
      <w:pPr>
        <w:pStyle w:val="NoSpacing"/>
        <w:numPr>
          <w:ilvl w:val="0"/>
          <w:numId w:val="6"/>
        </w:numPr>
        <w:rPr>
          <w:rFonts w:ascii="Times New Roman" w:hAnsi="Times New Roman" w:cs="Times New Roman"/>
        </w:rPr>
      </w:pPr>
      <w:r w:rsidRPr="001A1709">
        <w:rPr>
          <w:rFonts w:ascii="Times New Roman" w:hAnsi="Times New Roman" w:cs="Times New Roman"/>
          <w:i/>
        </w:rPr>
        <w:t xml:space="preserve">Convention on International Civil Aviation </w:t>
      </w:r>
      <w:r w:rsidRPr="001A1709">
        <w:rPr>
          <w:rFonts w:ascii="Times New Roman" w:hAnsi="Times New Roman" w:cs="Times New Roman"/>
        </w:rPr>
        <w:t>(Chicago Convention), 7 December 1944, Doc. 7300/9</w:t>
      </w:r>
      <w:r>
        <w:rPr>
          <w:rFonts w:ascii="Times New Roman" w:hAnsi="Times New Roman" w:cs="Times New Roman"/>
        </w:rPr>
        <w:t>.</w:t>
      </w:r>
    </w:p>
    <w:p w:rsidR="001A1709" w:rsidRPr="001A1709" w:rsidRDefault="001A1709" w:rsidP="001A1709">
      <w:pPr>
        <w:pStyle w:val="NoSpacing"/>
        <w:rPr>
          <w:rFonts w:ascii="Times New Roman" w:hAnsi="Times New Roman" w:cs="Times New Roman"/>
        </w:rPr>
      </w:pPr>
    </w:p>
    <w:p w:rsidR="001A1709" w:rsidRPr="001A1709" w:rsidRDefault="001A1709" w:rsidP="001A1709">
      <w:pPr>
        <w:pStyle w:val="NoSpacing"/>
        <w:rPr>
          <w:rFonts w:ascii="Times New Roman" w:hAnsi="Times New Roman" w:cs="Times New Roman"/>
        </w:rPr>
      </w:pPr>
      <w:r w:rsidRPr="001A1709">
        <w:rPr>
          <w:rFonts w:ascii="Times New Roman" w:hAnsi="Times New Roman" w:cs="Times New Roman"/>
        </w:rPr>
        <w:t xml:space="preserve">EU </w:t>
      </w:r>
      <w:r>
        <w:rPr>
          <w:rFonts w:ascii="Times New Roman" w:hAnsi="Times New Roman" w:cs="Times New Roman"/>
        </w:rPr>
        <w:t>Regulations</w:t>
      </w:r>
    </w:p>
    <w:p w:rsidR="001A1709" w:rsidRPr="001A1709" w:rsidRDefault="001A1709" w:rsidP="001A1709">
      <w:pPr>
        <w:pStyle w:val="NoSpacing"/>
        <w:rPr>
          <w:rFonts w:ascii="Times New Roman" w:hAnsi="Times New Roman" w:cs="Times New Roman"/>
        </w:rPr>
      </w:pPr>
    </w:p>
    <w:p w:rsidR="00706869" w:rsidRPr="001A1709" w:rsidRDefault="00706869" w:rsidP="00706869">
      <w:pPr>
        <w:pStyle w:val="NoSpacing"/>
        <w:numPr>
          <w:ilvl w:val="0"/>
          <w:numId w:val="6"/>
        </w:numPr>
        <w:rPr>
          <w:rFonts w:ascii="Times New Roman" w:hAnsi="Times New Roman" w:cs="Times New Roman"/>
        </w:rPr>
      </w:pPr>
      <w:r w:rsidRPr="001A1709">
        <w:rPr>
          <w:rFonts w:ascii="Times New Roman" w:hAnsi="Times New Roman" w:cs="Times New Roman"/>
        </w:rPr>
        <w:t xml:space="preserve">EC, </w:t>
      </w:r>
      <w:r w:rsidRPr="001A1709">
        <w:rPr>
          <w:rFonts w:ascii="Times New Roman" w:hAnsi="Times New Roman" w:cs="Times New Roman"/>
          <w:i/>
        </w:rPr>
        <w:t>Council Directive 2008/101 of 19 November 2008 amending Directive 2003/87EC so as to include aviation activities in the scheme for greenhouse gas emission allowance trading within the Community</w:t>
      </w:r>
      <w:r w:rsidRPr="001A1709">
        <w:rPr>
          <w:rFonts w:ascii="Times New Roman" w:hAnsi="Times New Roman" w:cs="Times New Roman"/>
        </w:rPr>
        <w:t>, [2009] OJL 13/01</w:t>
      </w:r>
      <w:r w:rsidR="002E5CEE" w:rsidRPr="001A1709">
        <w:rPr>
          <w:rFonts w:ascii="Times New Roman" w:hAnsi="Times New Roman" w:cs="Times New Roman"/>
        </w:rPr>
        <w:t>.</w:t>
      </w:r>
    </w:p>
    <w:p w:rsidR="00C31CA1" w:rsidRPr="001A1709" w:rsidRDefault="00C31CA1" w:rsidP="00C31CA1">
      <w:pPr>
        <w:pStyle w:val="NoSpacing"/>
        <w:numPr>
          <w:ilvl w:val="0"/>
          <w:numId w:val="6"/>
        </w:numPr>
        <w:rPr>
          <w:rFonts w:ascii="Times New Roman" w:hAnsi="Times New Roman" w:cs="Times New Roman"/>
        </w:rPr>
      </w:pPr>
      <w:r w:rsidRPr="001A1709">
        <w:rPr>
          <w:rFonts w:ascii="Times New Roman" w:hAnsi="Times New Roman" w:cs="Times New Roman"/>
        </w:rPr>
        <w:t xml:space="preserve">EC, </w:t>
      </w:r>
      <w:r w:rsidRPr="001A1709">
        <w:rPr>
          <w:rFonts w:ascii="Times New Roman" w:hAnsi="Times New Roman" w:cs="Times New Roman"/>
          <w:i/>
        </w:rPr>
        <w:t xml:space="preserve">Council Regulation </w:t>
      </w:r>
      <w:r w:rsidRPr="001A1709">
        <w:rPr>
          <w:rFonts w:ascii="Times New Roman" w:hAnsi="Times New Roman" w:cs="Times New Roman"/>
        </w:rPr>
        <w:t xml:space="preserve">417/2002 </w:t>
      </w:r>
      <w:r w:rsidRPr="001A1709">
        <w:rPr>
          <w:rFonts w:ascii="Times New Roman" w:hAnsi="Times New Roman" w:cs="Times New Roman"/>
          <w:i/>
        </w:rPr>
        <w:t>of 18 February 2002 on the accelerated phasing-in of double hull or equivalent design requirements for single hull oil tankers and repealing Council Regulation (EC) No 2978/94</w:t>
      </w:r>
      <w:r w:rsidRPr="001A1709">
        <w:rPr>
          <w:rFonts w:ascii="Times New Roman" w:hAnsi="Times New Roman" w:cs="Times New Roman"/>
        </w:rPr>
        <w:t xml:space="preserve"> [2002] O.J.L. 64/1</w:t>
      </w:r>
      <w:r w:rsidR="001A1709">
        <w:rPr>
          <w:rFonts w:ascii="Times New Roman" w:hAnsi="Times New Roman" w:cs="Times New Roman"/>
        </w:rPr>
        <w:t>.</w:t>
      </w:r>
    </w:p>
    <w:p w:rsidR="00C31CA1" w:rsidRPr="001A1709" w:rsidRDefault="00C31CA1" w:rsidP="001A1709">
      <w:pPr>
        <w:pStyle w:val="NoSpacing"/>
        <w:numPr>
          <w:ilvl w:val="0"/>
          <w:numId w:val="6"/>
        </w:numPr>
        <w:rPr>
          <w:rFonts w:ascii="Times New Roman" w:hAnsi="Times New Roman" w:cs="Times New Roman"/>
        </w:rPr>
      </w:pPr>
      <w:r w:rsidRPr="001A1709">
        <w:rPr>
          <w:rFonts w:ascii="Times New Roman" w:hAnsi="Times New Roman" w:cs="Times New Roman"/>
        </w:rPr>
        <w:t xml:space="preserve">EC, </w:t>
      </w:r>
      <w:r w:rsidRPr="001A1709">
        <w:rPr>
          <w:rFonts w:ascii="Times New Roman" w:hAnsi="Times New Roman" w:cs="Times New Roman"/>
          <w:i/>
        </w:rPr>
        <w:t xml:space="preserve">Council Regulation </w:t>
      </w:r>
      <w:r w:rsidRPr="001A1709">
        <w:rPr>
          <w:rFonts w:ascii="Times New Roman" w:hAnsi="Times New Roman" w:cs="Times New Roman"/>
        </w:rPr>
        <w:t xml:space="preserve">1013/2006 </w:t>
      </w:r>
      <w:r w:rsidRPr="001A1709">
        <w:rPr>
          <w:rFonts w:ascii="Times New Roman" w:hAnsi="Times New Roman" w:cs="Times New Roman"/>
          <w:i/>
        </w:rPr>
        <w:t xml:space="preserve">of 14 June 2006 on shipments of waste; </w:t>
      </w:r>
      <w:r w:rsidRPr="001A1709">
        <w:rPr>
          <w:rFonts w:ascii="Times New Roman" w:hAnsi="Times New Roman" w:cs="Times New Roman"/>
        </w:rPr>
        <w:t>[2006] O.J.L. 318/15.</w:t>
      </w:r>
    </w:p>
    <w:p w:rsidR="001A1709" w:rsidRPr="001A1709" w:rsidRDefault="001A1709" w:rsidP="001A1709">
      <w:pPr>
        <w:pStyle w:val="NoSpacing"/>
        <w:rPr>
          <w:rFonts w:ascii="Times New Roman" w:hAnsi="Times New Roman" w:cs="Times New Roman"/>
        </w:rPr>
      </w:pPr>
    </w:p>
    <w:p w:rsidR="001A1709" w:rsidRPr="001A1709" w:rsidRDefault="001A1709" w:rsidP="001A1709">
      <w:pPr>
        <w:pStyle w:val="NoSpacing"/>
        <w:rPr>
          <w:rFonts w:ascii="Times New Roman" w:hAnsi="Times New Roman" w:cs="Times New Roman"/>
        </w:rPr>
      </w:pPr>
      <w:r>
        <w:rPr>
          <w:rFonts w:ascii="Times New Roman" w:hAnsi="Times New Roman" w:cs="Times New Roman"/>
        </w:rPr>
        <w:t>US Statutory Law</w:t>
      </w:r>
    </w:p>
    <w:p w:rsidR="001A1709" w:rsidRPr="001A1709" w:rsidRDefault="001A1709" w:rsidP="001A1709">
      <w:pPr>
        <w:pStyle w:val="NoSpacing"/>
        <w:rPr>
          <w:rFonts w:ascii="Times New Roman" w:hAnsi="Times New Roman" w:cs="Times New Roman"/>
        </w:rPr>
      </w:pPr>
    </w:p>
    <w:p w:rsidR="001A1709" w:rsidRPr="001A1709" w:rsidRDefault="001A1709" w:rsidP="001A1709">
      <w:pPr>
        <w:pStyle w:val="NoSpacing"/>
        <w:numPr>
          <w:ilvl w:val="0"/>
          <w:numId w:val="6"/>
        </w:numPr>
        <w:rPr>
          <w:rFonts w:ascii="Times New Roman" w:hAnsi="Times New Roman" w:cs="Times New Roman"/>
        </w:rPr>
      </w:pPr>
      <w:r w:rsidRPr="001A1709">
        <w:rPr>
          <w:rFonts w:ascii="Times New Roman" w:hAnsi="Times New Roman" w:cs="Times New Roman"/>
        </w:rPr>
        <w:t xml:space="preserve">US, Transportation and Infrastructure Committee, </w:t>
      </w:r>
      <w:r w:rsidRPr="001A1709">
        <w:rPr>
          <w:rFonts w:ascii="Times New Roman" w:hAnsi="Times New Roman" w:cs="Times New Roman"/>
          <w:i/>
        </w:rPr>
        <w:t>European Union Emissions Trading Scheme Prohibition Act of 2011</w:t>
      </w:r>
      <w:r w:rsidRPr="001A1709">
        <w:rPr>
          <w:rFonts w:ascii="Times New Roman" w:hAnsi="Times New Roman" w:cs="Times New Roman"/>
        </w:rPr>
        <w:t xml:space="preserve"> (H.R. Doc. No. 2594)</w:t>
      </w:r>
      <w:r>
        <w:rPr>
          <w:rFonts w:ascii="Times New Roman" w:hAnsi="Times New Roman" w:cs="Times New Roman"/>
        </w:rPr>
        <w:t>.</w:t>
      </w:r>
    </w:p>
    <w:p w:rsidR="001A1709" w:rsidRPr="001A1709" w:rsidRDefault="001A1709" w:rsidP="001A1709">
      <w:pPr>
        <w:pStyle w:val="NoSpacing"/>
        <w:ind w:left="720"/>
        <w:rPr>
          <w:rFonts w:ascii="Times New Roman" w:hAnsi="Times New Roman" w:cs="Times New Roman"/>
        </w:rPr>
      </w:pPr>
    </w:p>
    <w:p w:rsidR="001A1709" w:rsidRPr="001A1709" w:rsidRDefault="001A1709" w:rsidP="001A1709">
      <w:pPr>
        <w:pStyle w:val="NoSpacing"/>
        <w:rPr>
          <w:rFonts w:ascii="Times New Roman" w:hAnsi="Times New Roman" w:cs="Times New Roman"/>
        </w:rPr>
      </w:pPr>
      <w:r w:rsidRPr="001A1709">
        <w:rPr>
          <w:rFonts w:ascii="Times New Roman" w:hAnsi="Times New Roman" w:cs="Times New Roman"/>
        </w:rPr>
        <w:t>Case Law</w:t>
      </w:r>
    </w:p>
    <w:p w:rsidR="001A1709" w:rsidRPr="001A1709" w:rsidRDefault="001A1709" w:rsidP="001A1709">
      <w:pPr>
        <w:pStyle w:val="NoSpacing"/>
        <w:rPr>
          <w:rFonts w:ascii="Times New Roman" w:hAnsi="Times New Roman" w:cs="Times New Roman"/>
        </w:rPr>
      </w:pPr>
    </w:p>
    <w:p w:rsidR="001A1709" w:rsidRPr="001A1709" w:rsidRDefault="001A1709" w:rsidP="001A1709">
      <w:pPr>
        <w:pStyle w:val="NoSpacing"/>
        <w:numPr>
          <w:ilvl w:val="0"/>
          <w:numId w:val="6"/>
        </w:numPr>
        <w:rPr>
          <w:rFonts w:ascii="Times New Roman" w:hAnsi="Times New Roman" w:cs="Times New Roman"/>
        </w:rPr>
      </w:pPr>
      <w:r w:rsidRPr="001A1709">
        <w:rPr>
          <w:rFonts w:ascii="Times New Roman" w:hAnsi="Times New Roman" w:cs="Times New Roman"/>
          <w:i/>
        </w:rPr>
        <w:t xml:space="preserve">Case of S.S. Lotus (France v Turkey) </w:t>
      </w:r>
      <w:r w:rsidRPr="001A1709">
        <w:rPr>
          <w:rFonts w:ascii="Times New Roman" w:hAnsi="Times New Roman" w:cs="Times New Roman"/>
        </w:rPr>
        <w:t>(1927) P.C.I.J. (ser. A) No. 10</w:t>
      </w:r>
      <w:r w:rsidRPr="001A1709">
        <w:rPr>
          <w:rFonts w:ascii="Times New Roman" w:hAnsi="Times New Roman" w:cs="Times New Roman"/>
          <w:i/>
        </w:rPr>
        <w:t>Case concerning Military and Paramilitary Activities in and against Nicaragua,</w:t>
      </w:r>
      <w:r w:rsidRPr="001A1709">
        <w:rPr>
          <w:rFonts w:ascii="Times New Roman" w:hAnsi="Times New Roman" w:cs="Times New Roman"/>
        </w:rPr>
        <w:t xml:space="preserve"> [1986] I.C.J. Rep. 14</w:t>
      </w:r>
      <w:r>
        <w:rPr>
          <w:rFonts w:ascii="Times New Roman" w:hAnsi="Times New Roman" w:cs="Times New Roman"/>
        </w:rPr>
        <w:t>.</w:t>
      </w:r>
    </w:p>
    <w:p w:rsidR="001A1709" w:rsidRPr="001A1709" w:rsidRDefault="001A1709" w:rsidP="001A1709">
      <w:pPr>
        <w:pStyle w:val="NoSpacing"/>
        <w:numPr>
          <w:ilvl w:val="0"/>
          <w:numId w:val="6"/>
        </w:numPr>
        <w:rPr>
          <w:rFonts w:ascii="Times New Roman" w:hAnsi="Times New Roman" w:cs="Times New Roman"/>
        </w:rPr>
      </w:pPr>
      <w:r w:rsidRPr="001A1709">
        <w:rPr>
          <w:rFonts w:ascii="Times New Roman" w:hAnsi="Times New Roman" w:cs="Times New Roman"/>
          <w:i/>
        </w:rPr>
        <w:t>United States v Aluminum Co. of America</w:t>
      </w:r>
      <w:r w:rsidRPr="001A1709">
        <w:rPr>
          <w:rFonts w:ascii="Times New Roman" w:hAnsi="Times New Roman" w:cs="Times New Roman"/>
        </w:rPr>
        <w:t>, 148 F.2d 416 at 444  (2nd Cir. 1945)</w:t>
      </w:r>
      <w:r>
        <w:rPr>
          <w:rFonts w:ascii="Times New Roman" w:hAnsi="Times New Roman" w:cs="Times New Roman"/>
        </w:rPr>
        <w:t>.</w:t>
      </w:r>
    </w:p>
    <w:p w:rsidR="001A1709" w:rsidRPr="001A1709" w:rsidRDefault="001A1709" w:rsidP="001A1709">
      <w:pPr>
        <w:pStyle w:val="NoSpacing"/>
        <w:numPr>
          <w:ilvl w:val="0"/>
          <w:numId w:val="6"/>
        </w:numPr>
        <w:rPr>
          <w:rFonts w:ascii="Times New Roman" w:hAnsi="Times New Roman" w:cs="Times New Roman"/>
        </w:rPr>
      </w:pPr>
      <w:r w:rsidRPr="001A1709">
        <w:rPr>
          <w:rFonts w:ascii="Times New Roman" w:hAnsi="Times New Roman" w:cs="Times New Roman"/>
          <w:i/>
        </w:rPr>
        <w:t>Laker Airways Ltd. v. Sabena, Belgian World Airlines</w:t>
      </w:r>
      <w:r w:rsidRPr="001A1709">
        <w:rPr>
          <w:rFonts w:ascii="Times New Roman" w:hAnsi="Times New Roman" w:cs="Times New Roman"/>
        </w:rPr>
        <w:t>, 731 F. 2d 909 at 952 (D.C. Cir 1984)</w:t>
      </w:r>
      <w:r>
        <w:rPr>
          <w:rFonts w:ascii="Times New Roman" w:hAnsi="Times New Roman" w:cs="Times New Roman"/>
        </w:rPr>
        <w:t>.</w:t>
      </w:r>
    </w:p>
    <w:p w:rsidR="001A1709" w:rsidRPr="001A1709" w:rsidRDefault="001A1709" w:rsidP="001A1709">
      <w:pPr>
        <w:pStyle w:val="NoSpacing"/>
        <w:numPr>
          <w:ilvl w:val="0"/>
          <w:numId w:val="6"/>
        </w:numPr>
        <w:rPr>
          <w:rFonts w:ascii="Times New Roman" w:hAnsi="Times New Roman" w:cs="Times New Roman"/>
        </w:rPr>
      </w:pPr>
      <w:r w:rsidRPr="001A1709">
        <w:rPr>
          <w:rFonts w:ascii="Times New Roman" w:hAnsi="Times New Roman" w:cs="Times New Roman"/>
          <w:i/>
        </w:rPr>
        <w:t xml:space="preserve">United States. </w:t>
      </w:r>
      <w:proofErr w:type="gramStart"/>
      <w:r w:rsidRPr="001A1709">
        <w:rPr>
          <w:rFonts w:ascii="Times New Roman" w:hAnsi="Times New Roman" w:cs="Times New Roman"/>
          <w:i/>
        </w:rPr>
        <w:t>v</w:t>
      </w:r>
      <w:proofErr w:type="gramEnd"/>
      <w:r w:rsidRPr="001A1709">
        <w:rPr>
          <w:rFonts w:ascii="Times New Roman" w:hAnsi="Times New Roman" w:cs="Times New Roman"/>
          <w:i/>
        </w:rPr>
        <w:t xml:space="preserve"> Noriega</w:t>
      </w:r>
      <w:r w:rsidRPr="001A1709">
        <w:rPr>
          <w:rFonts w:ascii="Times New Roman" w:hAnsi="Times New Roman" w:cs="Times New Roman"/>
        </w:rPr>
        <w:t xml:space="preserve">, 746 </w:t>
      </w:r>
      <w:proofErr w:type="spellStart"/>
      <w:r w:rsidRPr="001A1709">
        <w:rPr>
          <w:rFonts w:ascii="Times New Roman" w:hAnsi="Times New Roman" w:cs="Times New Roman"/>
        </w:rPr>
        <w:t>F.Supp</w:t>
      </w:r>
      <w:proofErr w:type="spellEnd"/>
      <w:r w:rsidRPr="001A1709">
        <w:rPr>
          <w:rFonts w:ascii="Times New Roman" w:hAnsi="Times New Roman" w:cs="Times New Roman"/>
        </w:rPr>
        <w:t>. 1506 at 1514–1515 (11th Cir.1997)</w:t>
      </w:r>
      <w:r>
        <w:rPr>
          <w:rFonts w:ascii="Times New Roman" w:hAnsi="Times New Roman" w:cs="Times New Roman"/>
        </w:rPr>
        <w:t>.</w:t>
      </w:r>
    </w:p>
    <w:p w:rsidR="001A1709" w:rsidRPr="001A1709" w:rsidRDefault="001A1709" w:rsidP="001A1709">
      <w:pPr>
        <w:pStyle w:val="NoSpacing"/>
        <w:rPr>
          <w:rFonts w:ascii="Times New Roman" w:hAnsi="Times New Roman" w:cs="Times New Roman"/>
        </w:rPr>
      </w:pPr>
    </w:p>
    <w:p w:rsidR="001A1709" w:rsidRPr="001A1709" w:rsidRDefault="001A1709" w:rsidP="001A1709">
      <w:pPr>
        <w:pStyle w:val="NoSpacing"/>
        <w:rPr>
          <w:rFonts w:ascii="Times New Roman" w:hAnsi="Times New Roman" w:cs="Times New Roman"/>
        </w:rPr>
      </w:pPr>
      <w:r w:rsidRPr="001A1709">
        <w:rPr>
          <w:rFonts w:ascii="Times New Roman" w:hAnsi="Times New Roman" w:cs="Times New Roman"/>
        </w:rPr>
        <w:t>Secondary Sources</w:t>
      </w:r>
    </w:p>
    <w:p w:rsidR="001A1709" w:rsidRPr="001A1709" w:rsidRDefault="001A1709" w:rsidP="001A1709">
      <w:pPr>
        <w:pStyle w:val="NoSpacing"/>
        <w:rPr>
          <w:rFonts w:ascii="Times New Roman" w:hAnsi="Times New Roman" w:cs="Times New Roman"/>
        </w:rPr>
      </w:pPr>
    </w:p>
    <w:p w:rsidR="001A1709" w:rsidRPr="001A1709" w:rsidRDefault="001A1709" w:rsidP="001A1709">
      <w:pPr>
        <w:pStyle w:val="NoSpacing"/>
        <w:numPr>
          <w:ilvl w:val="0"/>
          <w:numId w:val="6"/>
        </w:numPr>
        <w:rPr>
          <w:rFonts w:ascii="Times New Roman" w:hAnsi="Times New Roman" w:cs="Times New Roman"/>
        </w:rPr>
      </w:pPr>
      <w:r w:rsidRPr="001A1709">
        <w:rPr>
          <w:rFonts w:ascii="Times New Roman" w:hAnsi="Times New Roman" w:cs="Times New Roman"/>
        </w:rPr>
        <w:t>Restatement (Third) of United States Foreign Relation Law (1987)</w:t>
      </w:r>
      <w:r>
        <w:rPr>
          <w:rFonts w:ascii="Times New Roman" w:hAnsi="Times New Roman" w:cs="Times New Roman"/>
        </w:rPr>
        <w:t>.</w:t>
      </w:r>
    </w:p>
    <w:p w:rsidR="001A1709" w:rsidRPr="001A1709" w:rsidRDefault="001A1709" w:rsidP="001A1709">
      <w:pPr>
        <w:pStyle w:val="NoSpacing"/>
        <w:numPr>
          <w:ilvl w:val="0"/>
          <w:numId w:val="6"/>
        </w:numPr>
        <w:rPr>
          <w:rFonts w:ascii="Times New Roman" w:hAnsi="Times New Roman" w:cs="Times New Roman"/>
        </w:rPr>
      </w:pPr>
      <w:r w:rsidRPr="001A1709">
        <w:rPr>
          <w:rFonts w:ascii="Times New Roman" w:hAnsi="Times New Roman" w:cs="Times New Roman"/>
        </w:rPr>
        <w:t xml:space="preserve">Ian Brownlie, </w:t>
      </w:r>
      <w:r w:rsidRPr="001A1709">
        <w:rPr>
          <w:rFonts w:ascii="Times New Roman" w:hAnsi="Times New Roman" w:cs="Times New Roman"/>
          <w:i/>
        </w:rPr>
        <w:t>Principles of Public International Law</w:t>
      </w:r>
      <w:r w:rsidRPr="001A1709">
        <w:rPr>
          <w:rFonts w:ascii="Times New Roman" w:hAnsi="Times New Roman" w:cs="Times New Roman"/>
        </w:rPr>
        <w:t>, 7th ed. (New York, Oxford University Press, 2008)</w:t>
      </w:r>
      <w:r>
        <w:rPr>
          <w:rFonts w:ascii="Times New Roman" w:hAnsi="Times New Roman" w:cs="Times New Roman"/>
        </w:rPr>
        <w:t>.</w:t>
      </w:r>
    </w:p>
    <w:p w:rsidR="001A1709" w:rsidRPr="001A1709" w:rsidRDefault="001A1709" w:rsidP="001A1709">
      <w:pPr>
        <w:pStyle w:val="NoSpacing"/>
        <w:numPr>
          <w:ilvl w:val="0"/>
          <w:numId w:val="6"/>
        </w:numPr>
        <w:rPr>
          <w:rFonts w:ascii="Times New Roman" w:hAnsi="Times New Roman" w:cs="Times New Roman"/>
        </w:rPr>
      </w:pPr>
      <w:r w:rsidRPr="001A1709">
        <w:rPr>
          <w:rFonts w:ascii="Times New Roman" w:hAnsi="Times New Roman" w:cs="Times New Roman"/>
        </w:rPr>
        <w:t>Kathleen Hixon, “Extraterritorial Jurisdiction Under the Third Restatement of Foreign Relations Law of the United States” (1988) 12 Fordham International L.J. 127</w:t>
      </w:r>
      <w:r>
        <w:rPr>
          <w:rFonts w:ascii="Times New Roman" w:hAnsi="Times New Roman" w:cs="Times New Roman"/>
        </w:rPr>
        <w:t>.</w:t>
      </w:r>
    </w:p>
    <w:p w:rsidR="001A1709" w:rsidRPr="001A1709" w:rsidRDefault="001A1709" w:rsidP="001A1709">
      <w:pPr>
        <w:pStyle w:val="NoSpacing"/>
        <w:numPr>
          <w:ilvl w:val="0"/>
          <w:numId w:val="6"/>
        </w:numPr>
        <w:rPr>
          <w:rFonts w:ascii="Times New Roman" w:hAnsi="Times New Roman" w:cs="Times New Roman"/>
        </w:rPr>
      </w:pPr>
      <w:r w:rsidRPr="001A1709">
        <w:rPr>
          <w:rFonts w:ascii="Times New Roman" w:hAnsi="Times New Roman" w:cs="Times New Roman"/>
        </w:rPr>
        <w:t xml:space="preserve">M.L. Parry, O.F. Canziani &amp; J.P. Palutikof et al., </w:t>
      </w:r>
      <w:r w:rsidRPr="001A1709">
        <w:rPr>
          <w:rFonts w:ascii="Times New Roman" w:hAnsi="Times New Roman" w:cs="Times New Roman"/>
          <w:i/>
        </w:rPr>
        <w:t>Contribution of Working Group II to the Fourth Assessment Report of the Intergovernmental Panel on Climate Change</w:t>
      </w:r>
      <w:r w:rsidRPr="001A1709">
        <w:rPr>
          <w:rFonts w:ascii="Times New Roman" w:hAnsi="Times New Roman" w:cs="Times New Roman"/>
        </w:rPr>
        <w:t>, (Cambridge, UK, Cambridge University Press, 2007)</w:t>
      </w:r>
      <w:r>
        <w:rPr>
          <w:rFonts w:ascii="Times New Roman" w:hAnsi="Times New Roman" w:cs="Times New Roman"/>
        </w:rPr>
        <w:t>.</w:t>
      </w:r>
    </w:p>
    <w:p w:rsidR="001A1709" w:rsidRPr="001A1709" w:rsidRDefault="001A1709" w:rsidP="001A1709">
      <w:pPr>
        <w:pStyle w:val="NoSpacing"/>
        <w:numPr>
          <w:ilvl w:val="0"/>
          <w:numId w:val="6"/>
        </w:numPr>
        <w:rPr>
          <w:rFonts w:ascii="Times New Roman" w:hAnsi="Times New Roman" w:cs="Times New Roman"/>
        </w:rPr>
      </w:pPr>
      <w:r w:rsidRPr="001A1709">
        <w:rPr>
          <w:rFonts w:ascii="Times New Roman" w:hAnsi="Times New Roman" w:cs="Times New Roman"/>
        </w:rPr>
        <w:t xml:space="preserve">Joyce E. </w:t>
      </w:r>
      <w:proofErr w:type="spellStart"/>
      <w:r w:rsidRPr="001A1709">
        <w:rPr>
          <w:rFonts w:ascii="Times New Roman" w:hAnsi="Times New Roman" w:cs="Times New Roman"/>
        </w:rPr>
        <w:t>Penner</w:t>
      </w:r>
      <w:proofErr w:type="spellEnd"/>
      <w:r w:rsidRPr="001A1709">
        <w:rPr>
          <w:rFonts w:ascii="Times New Roman" w:hAnsi="Times New Roman" w:cs="Times New Roman"/>
        </w:rPr>
        <w:t>, David H. Lister &amp; David J. Griggs et al., “Aviation and the Global Atmosphere” online: PCC Special Reports on Climate Change &lt;http://www.grida.no/publications/other/ipcc%5Fsr/?src=/climate/ipcc/aviation/index.htm&gt;.</w:t>
      </w:r>
    </w:p>
    <w:p w:rsidR="002E5CEE" w:rsidRPr="001A1709" w:rsidRDefault="002E5CEE" w:rsidP="00706869">
      <w:pPr>
        <w:pStyle w:val="NoSpacing"/>
        <w:numPr>
          <w:ilvl w:val="0"/>
          <w:numId w:val="6"/>
        </w:numPr>
        <w:rPr>
          <w:rFonts w:ascii="Times New Roman" w:hAnsi="Times New Roman" w:cs="Times New Roman"/>
        </w:rPr>
      </w:pPr>
      <w:r w:rsidRPr="001A1709">
        <w:rPr>
          <w:rFonts w:ascii="Times New Roman" w:hAnsi="Times New Roman" w:cs="Times New Roman"/>
        </w:rPr>
        <w:t>Cedric Ryngaert,</w:t>
      </w:r>
      <w:r w:rsidRPr="001A1709">
        <w:rPr>
          <w:rFonts w:ascii="Times New Roman" w:hAnsi="Times New Roman" w:cs="Times New Roman"/>
          <w:i/>
        </w:rPr>
        <w:t xml:space="preserve"> Facing the Limits of the Law</w:t>
      </w:r>
      <w:r w:rsidRPr="001A1709">
        <w:rPr>
          <w:rFonts w:ascii="Times New Roman" w:hAnsi="Times New Roman" w:cs="Times New Roman"/>
        </w:rPr>
        <w:t>, Erik Claes, Wouter Devroe &amp;Bert Keirsbilck (Berlin, Springer 2009)</w:t>
      </w:r>
      <w:r w:rsidR="001A1709">
        <w:rPr>
          <w:rFonts w:ascii="Times New Roman" w:hAnsi="Times New Roman" w:cs="Times New Roman"/>
        </w:rPr>
        <w:t>.</w:t>
      </w:r>
    </w:p>
    <w:p w:rsidR="00C31CA1" w:rsidRPr="001A1709" w:rsidRDefault="00C31CA1" w:rsidP="00C31CA1">
      <w:pPr>
        <w:pStyle w:val="FootnoteText"/>
        <w:numPr>
          <w:ilvl w:val="0"/>
          <w:numId w:val="6"/>
        </w:numPr>
        <w:rPr>
          <w:rFonts w:ascii="Times New Roman" w:hAnsi="Times New Roman" w:cs="Times New Roman"/>
        </w:rPr>
      </w:pPr>
      <w:r w:rsidRPr="001A1709">
        <w:rPr>
          <w:rFonts w:ascii="Times New Roman" w:hAnsi="Times New Roman" w:cs="Times New Roman"/>
        </w:rPr>
        <w:t xml:space="preserve">GATT, </w:t>
      </w:r>
      <w:r w:rsidRPr="001A1709">
        <w:rPr>
          <w:rFonts w:ascii="Times New Roman" w:hAnsi="Times New Roman" w:cs="Times New Roman"/>
          <w:i/>
        </w:rPr>
        <w:t>Dispute Settlement Panel Report on United States Restrictions on Imports of Tuna</w:t>
      </w:r>
      <w:r w:rsidRPr="001A1709">
        <w:rPr>
          <w:rFonts w:ascii="Times New Roman" w:hAnsi="Times New Roman" w:cs="Times New Roman"/>
        </w:rPr>
        <w:t>, 30 I.L.M. 1594 (16 June 1991)</w:t>
      </w:r>
      <w:r w:rsidR="001A1709">
        <w:rPr>
          <w:rFonts w:ascii="Times New Roman" w:hAnsi="Times New Roman" w:cs="Times New Roman"/>
        </w:rPr>
        <w:t>.</w:t>
      </w:r>
    </w:p>
    <w:p w:rsidR="001A1709" w:rsidRPr="001A1709" w:rsidRDefault="001A1709" w:rsidP="001A1709">
      <w:pPr>
        <w:pStyle w:val="NoSpacing"/>
        <w:numPr>
          <w:ilvl w:val="0"/>
          <w:numId w:val="6"/>
        </w:numPr>
        <w:rPr>
          <w:rFonts w:ascii="Times New Roman" w:hAnsi="Times New Roman" w:cs="Times New Roman"/>
        </w:rPr>
      </w:pPr>
      <w:r w:rsidRPr="001A1709">
        <w:rPr>
          <w:rFonts w:ascii="Times New Roman" w:hAnsi="Times New Roman" w:cs="Times New Roman"/>
          <w:i/>
        </w:rPr>
        <w:t>Black’s Law Dictionary</w:t>
      </w:r>
      <w:r w:rsidRPr="001A1709">
        <w:rPr>
          <w:rFonts w:ascii="Times New Roman" w:hAnsi="Times New Roman" w:cs="Times New Roman"/>
        </w:rPr>
        <w:t xml:space="preserve">, 9th </w:t>
      </w:r>
      <w:proofErr w:type="gramStart"/>
      <w:r w:rsidRPr="001A1709">
        <w:rPr>
          <w:rFonts w:ascii="Times New Roman" w:hAnsi="Times New Roman" w:cs="Times New Roman"/>
        </w:rPr>
        <w:t>ed</w:t>
      </w:r>
      <w:proofErr w:type="gramEnd"/>
      <w:r>
        <w:rPr>
          <w:rFonts w:ascii="Times New Roman" w:hAnsi="Times New Roman" w:cs="Times New Roman"/>
        </w:rPr>
        <w:t>.</w:t>
      </w:r>
    </w:p>
    <w:p w:rsidR="001A1709" w:rsidRPr="001A1709" w:rsidRDefault="001A1709" w:rsidP="001A1709">
      <w:pPr>
        <w:pStyle w:val="NoSpacing"/>
        <w:rPr>
          <w:rFonts w:ascii="Times New Roman" w:hAnsi="Times New Roman" w:cs="Times New Roman"/>
        </w:rPr>
      </w:pPr>
    </w:p>
    <w:p w:rsidR="001A1709" w:rsidRPr="001A1709" w:rsidRDefault="001A1709" w:rsidP="001A1709">
      <w:pPr>
        <w:pStyle w:val="NoSpacing"/>
        <w:rPr>
          <w:rFonts w:ascii="Times New Roman" w:hAnsi="Times New Roman" w:cs="Times New Roman"/>
        </w:rPr>
      </w:pPr>
      <w:r w:rsidRPr="001A1709">
        <w:rPr>
          <w:rFonts w:ascii="Times New Roman" w:hAnsi="Times New Roman" w:cs="Times New Roman"/>
        </w:rPr>
        <w:t>Briefs</w:t>
      </w:r>
    </w:p>
    <w:p w:rsidR="001A1709" w:rsidRPr="001A1709" w:rsidRDefault="001A1709" w:rsidP="001A1709">
      <w:pPr>
        <w:pStyle w:val="NoSpacing"/>
        <w:rPr>
          <w:rFonts w:ascii="Times New Roman" w:hAnsi="Times New Roman" w:cs="Times New Roman"/>
        </w:rPr>
      </w:pPr>
    </w:p>
    <w:p w:rsidR="001A1709" w:rsidRPr="001A1709" w:rsidRDefault="001A1709" w:rsidP="001A1709">
      <w:pPr>
        <w:pStyle w:val="NoSpacing"/>
        <w:numPr>
          <w:ilvl w:val="0"/>
          <w:numId w:val="6"/>
        </w:numPr>
        <w:rPr>
          <w:rFonts w:ascii="Times New Roman" w:hAnsi="Times New Roman" w:cs="Times New Roman"/>
        </w:rPr>
      </w:pPr>
      <w:r w:rsidRPr="001A1709">
        <w:rPr>
          <w:rFonts w:ascii="Times New Roman" w:hAnsi="Times New Roman" w:cs="Times New Roman"/>
          <w:i/>
        </w:rPr>
        <w:t>Case concerning the Air Transport Association of America and Others, “</w:t>
      </w:r>
      <w:r w:rsidRPr="001A1709">
        <w:rPr>
          <w:rFonts w:ascii="Times New Roman" w:hAnsi="Times New Roman" w:cs="Times New Roman"/>
        </w:rPr>
        <w:t>Opinion of Advocate General, Advisory Opinion” (6 October 2011), C-366.</w:t>
      </w:r>
    </w:p>
    <w:p w:rsidR="001A1709" w:rsidRPr="001A1709" w:rsidRDefault="001A1709" w:rsidP="001A1709">
      <w:pPr>
        <w:pStyle w:val="NoSpacing"/>
        <w:numPr>
          <w:ilvl w:val="0"/>
          <w:numId w:val="6"/>
        </w:numPr>
        <w:rPr>
          <w:rFonts w:ascii="Times New Roman" w:hAnsi="Times New Roman" w:cs="Times New Roman"/>
        </w:rPr>
      </w:pPr>
      <w:r w:rsidRPr="001A1709">
        <w:rPr>
          <w:rFonts w:ascii="Times New Roman" w:hAnsi="Times New Roman" w:cs="Times New Roman"/>
          <w:i/>
        </w:rPr>
        <w:t xml:space="preserve">International Air Transport Association et al v Secretary of State for Energy and Climate Change, </w:t>
      </w:r>
      <w:r w:rsidRPr="001A1709">
        <w:rPr>
          <w:rFonts w:ascii="Times New Roman" w:hAnsi="Times New Roman" w:cs="Times New Roman"/>
        </w:rPr>
        <w:t>“Written Observations of the International Air Transport Association and the National Airlines Council of Canada” (Intervener IATA/NACC) C-366/10 (Not Reported)</w:t>
      </w:r>
      <w:r>
        <w:rPr>
          <w:rFonts w:ascii="Times New Roman" w:hAnsi="Times New Roman" w:cs="Times New Roman"/>
        </w:rPr>
        <w:t>.</w:t>
      </w:r>
    </w:p>
    <w:p w:rsidR="001A1709" w:rsidRPr="001A1709" w:rsidRDefault="001A1709" w:rsidP="001A1709">
      <w:pPr>
        <w:pStyle w:val="NoSpacing"/>
        <w:numPr>
          <w:ilvl w:val="0"/>
          <w:numId w:val="6"/>
        </w:numPr>
        <w:rPr>
          <w:rFonts w:ascii="Times New Roman" w:hAnsi="Times New Roman" w:cs="Times New Roman"/>
        </w:rPr>
      </w:pPr>
      <w:r w:rsidRPr="001A1709">
        <w:rPr>
          <w:rFonts w:ascii="Times New Roman" w:hAnsi="Times New Roman" w:cs="Times New Roman"/>
          <w:i/>
        </w:rPr>
        <w:t xml:space="preserve">International Air Transport Association et al v Secretary of State for Energy and Climate Change, </w:t>
      </w:r>
      <w:r w:rsidRPr="001A1709">
        <w:rPr>
          <w:rFonts w:ascii="Times New Roman" w:hAnsi="Times New Roman" w:cs="Times New Roman"/>
        </w:rPr>
        <w:t>“Written Observations of Second Interveners, The Aviation Environment Federation, WWF-UK, The European Federation For Transport and Environment, The Environment Defense Fund Earth Justice.” (Second Intervener Defendant) (20 October 2010) C-366/10 (Not Reported)</w:t>
      </w:r>
      <w:r>
        <w:rPr>
          <w:rFonts w:ascii="Times New Roman" w:hAnsi="Times New Roman" w:cs="Times New Roman"/>
        </w:rPr>
        <w:t>.</w:t>
      </w:r>
      <w:bookmarkStart w:id="0" w:name="_GoBack"/>
      <w:bookmarkEnd w:id="0"/>
    </w:p>
    <w:p w:rsidR="00706869" w:rsidRPr="001A1709" w:rsidRDefault="00706869" w:rsidP="006048C2">
      <w:pPr>
        <w:pStyle w:val="NoSpacing"/>
        <w:spacing w:line="480" w:lineRule="auto"/>
        <w:rPr>
          <w:rFonts w:ascii="Times New Roman" w:hAnsi="Times New Roman" w:cs="Times New Roman"/>
        </w:rPr>
      </w:pPr>
    </w:p>
    <w:sectPr w:rsidR="00706869" w:rsidRPr="001A1709" w:rsidSect="006048C2">
      <w:footerReference w:type="even" r:id="rId7"/>
      <w:footerReference w:type="default" r:id="rId8"/>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CA1" w:rsidRDefault="00C31CA1" w:rsidP="00864854">
      <w:r>
        <w:separator/>
      </w:r>
    </w:p>
  </w:endnote>
  <w:endnote w:type="continuationSeparator" w:id="0">
    <w:p w:rsidR="00C31CA1" w:rsidRDefault="00C31CA1" w:rsidP="008648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Vrinda">
    <w:panose1 w:val="01010600010101010101"/>
    <w:charset w:val="00"/>
    <w:family w:val="auto"/>
    <w:pitch w:val="variable"/>
    <w:sig w:usb0="00010003" w:usb1="00000000" w:usb2="00000000" w:usb3="00000000" w:csb0="00000001" w:csb1="00000000"/>
  </w:font>
  <w:font w:name="EUAlbertina">
    <w:altName w:val="Cambria"/>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CA1" w:rsidRDefault="00BF2D7E" w:rsidP="00706869">
    <w:pPr>
      <w:pStyle w:val="Footer"/>
      <w:framePr w:wrap="around" w:vAnchor="text" w:hAnchor="margin" w:xAlign="center" w:y="1"/>
      <w:rPr>
        <w:rStyle w:val="PageNumber"/>
      </w:rPr>
    </w:pPr>
    <w:r>
      <w:rPr>
        <w:rStyle w:val="PageNumber"/>
      </w:rPr>
      <w:fldChar w:fldCharType="begin"/>
    </w:r>
    <w:r w:rsidR="00C31CA1">
      <w:rPr>
        <w:rStyle w:val="PageNumber"/>
      </w:rPr>
      <w:instrText xml:space="preserve">PAGE  </w:instrText>
    </w:r>
    <w:r>
      <w:rPr>
        <w:rStyle w:val="PageNumber"/>
      </w:rPr>
      <w:fldChar w:fldCharType="end"/>
    </w:r>
  </w:p>
  <w:p w:rsidR="00C31CA1" w:rsidRDefault="00C31CA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CA1" w:rsidRDefault="00BF2D7E" w:rsidP="00706869">
    <w:pPr>
      <w:pStyle w:val="Footer"/>
      <w:framePr w:wrap="around" w:vAnchor="text" w:hAnchor="margin" w:xAlign="center" w:y="1"/>
      <w:rPr>
        <w:rStyle w:val="PageNumber"/>
      </w:rPr>
    </w:pPr>
    <w:r>
      <w:rPr>
        <w:rStyle w:val="PageNumber"/>
      </w:rPr>
      <w:fldChar w:fldCharType="begin"/>
    </w:r>
    <w:r w:rsidR="00C31CA1">
      <w:rPr>
        <w:rStyle w:val="PageNumber"/>
      </w:rPr>
      <w:instrText xml:space="preserve">PAGE  </w:instrText>
    </w:r>
    <w:r>
      <w:rPr>
        <w:rStyle w:val="PageNumber"/>
      </w:rPr>
      <w:fldChar w:fldCharType="separate"/>
    </w:r>
    <w:r w:rsidR="00056EE5">
      <w:rPr>
        <w:rStyle w:val="PageNumber"/>
        <w:noProof/>
      </w:rPr>
      <w:t>2</w:t>
    </w:r>
    <w:r>
      <w:rPr>
        <w:rStyle w:val="PageNumber"/>
      </w:rPr>
      <w:fldChar w:fldCharType="end"/>
    </w:r>
  </w:p>
  <w:p w:rsidR="00C31CA1" w:rsidRDefault="00C31C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CA1" w:rsidRDefault="00C31CA1" w:rsidP="00864854">
      <w:r>
        <w:separator/>
      </w:r>
    </w:p>
  </w:footnote>
  <w:footnote w:type="continuationSeparator" w:id="0">
    <w:p w:rsidR="00C31CA1" w:rsidRDefault="00C31CA1" w:rsidP="00864854">
      <w:r>
        <w:continuationSeparator/>
      </w:r>
    </w:p>
  </w:footnote>
  <w:footnote w:id="1">
    <w:p w:rsidR="00C31CA1" w:rsidRPr="00E41AAF" w:rsidRDefault="00C31CA1">
      <w:pPr>
        <w:pStyle w:val="FootnoteText"/>
        <w:rPr>
          <w:sz w:val="20"/>
          <w:szCs w:val="20"/>
        </w:rPr>
      </w:pPr>
      <w:r w:rsidRPr="00E41AAF">
        <w:rPr>
          <w:rStyle w:val="FootnoteReference"/>
          <w:sz w:val="20"/>
          <w:szCs w:val="20"/>
        </w:rPr>
        <w:footnoteRef/>
      </w:r>
      <w:r w:rsidRPr="00E41AAF">
        <w:rPr>
          <w:sz w:val="20"/>
          <w:szCs w:val="20"/>
        </w:rPr>
        <w:t xml:space="preserve"> EC, </w:t>
      </w:r>
      <w:r w:rsidRPr="00C31CA1">
        <w:rPr>
          <w:i/>
          <w:sz w:val="20"/>
          <w:szCs w:val="20"/>
        </w:rPr>
        <w:t>Council Directive 2008/101 of 19 November 2008 amending Directive 2003/87EC so as to include aviation activities in the scheme for greenhouse gas emission allowance trading within the Community</w:t>
      </w:r>
      <w:r w:rsidRPr="00E41AAF">
        <w:rPr>
          <w:sz w:val="20"/>
          <w:szCs w:val="20"/>
        </w:rPr>
        <w:t>, [2009] OJL 13/01</w:t>
      </w:r>
      <w:r>
        <w:rPr>
          <w:sz w:val="20"/>
          <w:szCs w:val="20"/>
        </w:rPr>
        <w:t>.</w:t>
      </w:r>
    </w:p>
  </w:footnote>
  <w:footnote w:id="2">
    <w:p w:rsidR="00C31CA1" w:rsidRPr="00E41AAF" w:rsidRDefault="00C31CA1">
      <w:pPr>
        <w:pStyle w:val="FootnoteText"/>
        <w:rPr>
          <w:sz w:val="20"/>
          <w:szCs w:val="20"/>
        </w:rPr>
      </w:pPr>
      <w:r w:rsidRPr="00E41AAF">
        <w:rPr>
          <w:rStyle w:val="FootnoteReference"/>
          <w:sz w:val="20"/>
          <w:szCs w:val="20"/>
        </w:rPr>
        <w:footnoteRef/>
      </w:r>
      <w:r>
        <w:rPr>
          <w:sz w:val="20"/>
          <w:szCs w:val="20"/>
        </w:rPr>
        <w:t xml:space="preserve"> </w:t>
      </w:r>
      <w:proofErr w:type="gramStart"/>
      <w:r>
        <w:rPr>
          <w:sz w:val="20"/>
          <w:szCs w:val="20"/>
        </w:rPr>
        <w:t>Ibid. at 5.</w:t>
      </w:r>
      <w:proofErr w:type="gramEnd"/>
      <w:r w:rsidRPr="00E41AAF">
        <w:rPr>
          <w:sz w:val="20"/>
          <w:szCs w:val="20"/>
        </w:rPr>
        <w:t xml:space="preserve"> </w:t>
      </w:r>
    </w:p>
  </w:footnote>
  <w:footnote w:id="3">
    <w:p w:rsidR="00C31CA1" w:rsidRPr="00E41AAF" w:rsidRDefault="00C31CA1">
      <w:pPr>
        <w:pStyle w:val="FootnoteText"/>
        <w:rPr>
          <w:sz w:val="20"/>
          <w:szCs w:val="20"/>
        </w:rPr>
      </w:pPr>
      <w:r w:rsidRPr="00E41AAF">
        <w:rPr>
          <w:rStyle w:val="FootnoteReference"/>
          <w:sz w:val="20"/>
          <w:szCs w:val="20"/>
        </w:rPr>
        <w:footnoteRef/>
      </w:r>
      <w:r w:rsidRPr="00E41AAF">
        <w:rPr>
          <w:sz w:val="20"/>
          <w:szCs w:val="20"/>
        </w:rPr>
        <w:t xml:space="preserve"> </w:t>
      </w:r>
      <w:proofErr w:type="gramStart"/>
      <w:r w:rsidRPr="00E41AAF">
        <w:rPr>
          <w:sz w:val="20"/>
          <w:szCs w:val="20"/>
        </w:rPr>
        <w:t>Ibid</w:t>
      </w:r>
      <w:r>
        <w:rPr>
          <w:sz w:val="20"/>
          <w:szCs w:val="20"/>
        </w:rPr>
        <w:t>. at 7.</w:t>
      </w:r>
      <w:proofErr w:type="gramEnd"/>
    </w:p>
  </w:footnote>
  <w:footnote w:id="4">
    <w:p w:rsidR="00C31CA1" w:rsidRPr="002E5CEE" w:rsidRDefault="00C31CA1">
      <w:pPr>
        <w:pStyle w:val="FootnoteText"/>
        <w:rPr>
          <w:rFonts w:ascii="Times New Roman" w:hAnsi="Times New Roman" w:cs="Times New Roman"/>
          <w:sz w:val="20"/>
          <w:szCs w:val="20"/>
        </w:rPr>
      </w:pPr>
      <w:r w:rsidRPr="002E5CEE">
        <w:rPr>
          <w:rStyle w:val="FootnoteReference"/>
          <w:rFonts w:ascii="Times New Roman" w:hAnsi="Times New Roman" w:cs="Times New Roman"/>
          <w:sz w:val="20"/>
          <w:szCs w:val="20"/>
        </w:rPr>
        <w:footnoteRef/>
      </w:r>
      <w:r w:rsidRPr="002E5CEE">
        <w:rPr>
          <w:rFonts w:ascii="Times New Roman" w:hAnsi="Times New Roman" w:cs="Times New Roman"/>
          <w:sz w:val="20"/>
          <w:szCs w:val="20"/>
        </w:rPr>
        <w:t xml:space="preserve"> </w:t>
      </w:r>
      <w:proofErr w:type="gramStart"/>
      <w:r w:rsidRPr="002E5CEE">
        <w:rPr>
          <w:rFonts w:ascii="Times New Roman" w:hAnsi="Times New Roman" w:cs="Times New Roman"/>
          <w:sz w:val="20"/>
          <w:szCs w:val="20"/>
        </w:rPr>
        <w:t>Ibid. at 5.</w:t>
      </w:r>
      <w:proofErr w:type="gramEnd"/>
    </w:p>
  </w:footnote>
  <w:footnote w:id="5">
    <w:p w:rsidR="00C31CA1" w:rsidRPr="002E5CEE" w:rsidRDefault="00C31CA1">
      <w:pPr>
        <w:pStyle w:val="FootnoteText"/>
        <w:rPr>
          <w:rFonts w:ascii="Times New Roman" w:hAnsi="Times New Roman" w:cs="Times New Roman"/>
        </w:rPr>
      </w:pPr>
      <w:r w:rsidRPr="002E5CEE">
        <w:rPr>
          <w:rStyle w:val="FootnoteReference"/>
          <w:rFonts w:ascii="Times New Roman" w:hAnsi="Times New Roman" w:cs="Times New Roman"/>
          <w:sz w:val="20"/>
          <w:szCs w:val="20"/>
        </w:rPr>
        <w:footnoteRef/>
      </w:r>
      <w:r w:rsidRPr="002E5CEE">
        <w:rPr>
          <w:rFonts w:ascii="Times New Roman" w:hAnsi="Times New Roman" w:cs="Times New Roman"/>
          <w:sz w:val="20"/>
          <w:szCs w:val="20"/>
        </w:rPr>
        <w:t xml:space="preserve"> </w:t>
      </w:r>
      <w:r w:rsidRPr="002E5CEE">
        <w:rPr>
          <w:rFonts w:ascii="Times New Roman" w:hAnsi="Times New Roman" w:cs="Times New Roman"/>
          <w:i/>
          <w:sz w:val="20"/>
          <w:szCs w:val="20"/>
        </w:rPr>
        <w:t>Case concerning the Air Transport Association of America and Others, “</w:t>
      </w:r>
      <w:r w:rsidRPr="002E5CEE">
        <w:rPr>
          <w:rFonts w:ascii="Times New Roman" w:hAnsi="Times New Roman" w:cs="Times New Roman"/>
          <w:sz w:val="20"/>
          <w:szCs w:val="20"/>
        </w:rPr>
        <w:t>Opinion</w:t>
      </w:r>
      <w:r>
        <w:rPr>
          <w:rFonts w:ascii="Times New Roman" w:hAnsi="Times New Roman" w:cs="Times New Roman"/>
          <w:sz w:val="20"/>
          <w:szCs w:val="20"/>
        </w:rPr>
        <w:t xml:space="preserve"> of Advocate General, </w:t>
      </w:r>
      <w:r w:rsidRPr="002E5CEE">
        <w:rPr>
          <w:rFonts w:ascii="Times New Roman" w:hAnsi="Times New Roman" w:cs="Times New Roman"/>
          <w:sz w:val="20"/>
          <w:szCs w:val="20"/>
        </w:rPr>
        <w:t xml:space="preserve">Advisory Opinion” </w:t>
      </w:r>
      <w:r>
        <w:rPr>
          <w:rFonts w:ascii="Times New Roman" w:hAnsi="Times New Roman" w:cs="Times New Roman"/>
          <w:sz w:val="20"/>
          <w:szCs w:val="20"/>
        </w:rPr>
        <w:t>(6 October 2011)</w:t>
      </w:r>
      <w:r w:rsidRPr="002E5CEE">
        <w:rPr>
          <w:rFonts w:ascii="Times New Roman" w:hAnsi="Times New Roman" w:cs="Times New Roman"/>
          <w:sz w:val="20"/>
          <w:szCs w:val="20"/>
        </w:rPr>
        <w:t>, C-366, at 15-16</w:t>
      </w:r>
      <w:r>
        <w:rPr>
          <w:rFonts w:ascii="Times New Roman" w:hAnsi="Times New Roman" w:cs="Times New Roman"/>
          <w:sz w:val="20"/>
          <w:szCs w:val="20"/>
        </w:rPr>
        <w:t>.</w:t>
      </w:r>
    </w:p>
  </w:footnote>
  <w:footnote w:id="6">
    <w:p w:rsidR="00C31CA1" w:rsidRPr="00EA15E4" w:rsidRDefault="00C31CA1" w:rsidP="00972979">
      <w:pPr>
        <w:pStyle w:val="FootnoteText"/>
        <w:rPr>
          <w:sz w:val="20"/>
          <w:szCs w:val="20"/>
        </w:rPr>
      </w:pPr>
      <w:r w:rsidRPr="002E5CEE">
        <w:rPr>
          <w:rStyle w:val="FootnoteReference"/>
          <w:rFonts w:ascii="Times New Roman" w:hAnsi="Times New Roman" w:cs="Times New Roman"/>
          <w:sz w:val="20"/>
          <w:szCs w:val="20"/>
        </w:rPr>
        <w:footnoteRef/>
      </w:r>
      <w:r w:rsidRPr="002E5CEE">
        <w:rPr>
          <w:rFonts w:ascii="Times New Roman" w:hAnsi="Times New Roman" w:cs="Times New Roman"/>
          <w:sz w:val="20"/>
          <w:szCs w:val="20"/>
        </w:rPr>
        <w:t xml:space="preserve"> </w:t>
      </w:r>
      <w:proofErr w:type="gramStart"/>
      <w:r w:rsidRPr="002E5CEE">
        <w:rPr>
          <w:rFonts w:ascii="Times New Roman" w:hAnsi="Times New Roman" w:cs="Times New Roman"/>
          <w:sz w:val="20"/>
          <w:szCs w:val="20"/>
        </w:rPr>
        <w:t>Ibid. at 19.</w:t>
      </w:r>
      <w:proofErr w:type="gramEnd"/>
    </w:p>
  </w:footnote>
  <w:footnote w:id="7">
    <w:p w:rsidR="00C31CA1" w:rsidRPr="00972979" w:rsidRDefault="00C31CA1" w:rsidP="00972979">
      <w:pPr>
        <w:pStyle w:val="FootnoteText"/>
        <w:rPr>
          <w:sz w:val="20"/>
          <w:szCs w:val="20"/>
        </w:rPr>
      </w:pPr>
      <w:r>
        <w:rPr>
          <w:rStyle w:val="FootnoteReference"/>
        </w:rPr>
        <w:footnoteRef/>
      </w:r>
      <w:r>
        <w:t xml:space="preserve"> </w:t>
      </w:r>
      <w:r>
        <w:rPr>
          <w:i/>
          <w:sz w:val="20"/>
          <w:szCs w:val="20"/>
        </w:rPr>
        <w:t xml:space="preserve">International Air Transport Association et al v Secretary of State for Energy and Climate Change, </w:t>
      </w:r>
      <w:r>
        <w:rPr>
          <w:sz w:val="20"/>
          <w:szCs w:val="20"/>
        </w:rPr>
        <w:t>“Written Observations of the International Air Transport Association and the National Airlines Council of Canada” (Intervener IATA/NACC) C-366/10 (Not Reported) at 61.</w:t>
      </w:r>
    </w:p>
  </w:footnote>
  <w:footnote w:id="8">
    <w:p w:rsidR="00C31CA1" w:rsidRPr="00EA15E4" w:rsidRDefault="00C31CA1" w:rsidP="0060671C">
      <w:pPr>
        <w:pStyle w:val="Default"/>
        <w:rPr>
          <w:sz w:val="20"/>
          <w:szCs w:val="20"/>
        </w:rPr>
      </w:pPr>
      <w:r w:rsidRPr="00EA15E4">
        <w:rPr>
          <w:rStyle w:val="FootnoteReference"/>
          <w:sz w:val="20"/>
          <w:szCs w:val="20"/>
        </w:rPr>
        <w:footnoteRef/>
      </w:r>
      <w:r w:rsidRPr="00EA15E4">
        <w:rPr>
          <w:sz w:val="20"/>
          <w:szCs w:val="20"/>
        </w:rPr>
        <w:t xml:space="preserve"> </w:t>
      </w:r>
      <w:r>
        <w:rPr>
          <w:i/>
          <w:sz w:val="20"/>
          <w:szCs w:val="20"/>
        </w:rPr>
        <w:t xml:space="preserve">International Air Transport Association et al v Secretary of State for Energy and Climate Change, </w:t>
      </w:r>
      <w:r>
        <w:rPr>
          <w:sz w:val="20"/>
          <w:szCs w:val="20"/>
        </w:rPr>
        <w:t xml:space="preserve">“Written Observations of Second Interveners, The Aviation Environment Federation, WWF-UK, The European Federation For Transport and Environment, The Environment Defense Fund Earth Justice.” (Second Intervener Defendant) (20 October 2010) </w:t>
      </w:r>
      <w:proofErr w:type="gramStart"/>
      <w:r>
        <w:rPr>
          <w:sz w:val="20"/>
          <w:szCs w:val="20"/>
        </w:rPr>
        <w:t>C-366/10 (Not Reported) at 10.</w:t>
      </w:r>
      <w:proofErr w:type="gramEnd"/>
    </w:p>
  </w:footnote>
  <w:footnote w:id="9">
    <w:p w:rsidR="00C31CA1" w:rsidRPr="00EA15E4" w:rsidRDefault="00C31CA1" w:rsidP="002E00BB">
      <w:pPr>
        <w:pStyle w:val="FootnoteText"/>
        <w:rPr>
          <w:rFonts w:ascii="Times New Roman" w:hAnsi="Times New Roman" w:cs="Times New Roman"/>
          <w:sz w:val="20"/>
          <w:szCs w:val="20"/>
        </w:rPr>
      </w:pPr>
      <w:r w:rsidRPr="00EA15E4">
        <w:rPr>
          <w:rStyle w:val="FootnoteReference"/>
          <w:rFonts w:ascii="Times New Roman" w:hAnsi="Times New Roman" w:cs="Times New Roman"/>
          <w:sz w:val="20"/>
          <w:szCs w:val="20"/>
        </w:rPr>
        <w:footnoteRef/>
      </w:r>
      <w:r w:rsidRPr="00EA15E4">
        <w:rPr>
          <w:rFonts w:ascii="Times New Roman" w:hAnsi="Times New Roman" w:cs="Times New Roman"/>
          <w:sz w:val="20"/>
          <w:szCs w:val="20"/>
        </w:rPr>
        <w:t xml:space="preserve"> </w:t>
      </w:r>
      <w:r w:rsidRPr="00410826">
        <w:rPr>
          <w:rFonts w:ascii="Times New Roman" w:hAnsi="Times New Roman" w:cs="Times New Roman"/>
          <w:i/>
          <w:sz w:val="20"/>
          <w:szCs w:val="20"/>
        </w:rPr>
        <w:t>Black’s Law Dictionary</w:t>
      </w:r>
      <w:r w:rsidRPr="00EA15E4">
        <w:rPr>
          <w:rFonts w:ascii="Times New Roman" w:hAnsi="Times New Roman" w:cs="Times New Roman"/>
          <w:sz w:val="20"/>
          <w:szCs w:val="20"/>
        </w:rPr>
        <w:t xml:space="preserve">, </w:t>
      </w:r>
      <w:r>
        <w:rPr>
          <w:rFonts w:ascii="Times New Roman" w:hAnsi="Times New Roman" w:cs="Times New Roman"/>
          <w:sz w:val="20"/>
          <w:szCs w:val="20"/>
        </w:rPr>
        <w:t>9th ed., s.v. “extraterritorial”.</w:t>
      </w:r>
    </w:p>
  </w:footnote>
  <w:footnote w:id="10">
    <w:p w:rsidR="00C31CA1" w:rsidRPr="00410826" w:rsidRDefault="00C31CA1">
      <w:pPr>
        <w:pStyle w:val="FootnoteText"/>
        <w:rPr>
          <w:sz w:val="20"/>
          <w:szCs w:val="20"/>
        </w:rPr>
      </w:pPr>
      <w:r w:rsidRPr="00EA15E4">
        <w:rPr>
          <w:rStyle w:val="FootnoteReference"/>
          <w:sz w:val="20"/>
          <w:szCs w:val="20"/>
        </w:rPr>
        <w:footnoteRef/>
      </w:r>
      <w:r w:rsidRPr="00EA15E4">
        <w:rPr>
          <w:sz w:val="20"/>
          <w:szCs w:val="20"/>
        </w:rPr>
        <w:t xml:space="preserve"> </w:t>
      </w:r>
      <w:proofErr w:type="gramStart"/>
      <w:r>
        <w:rPr>
          <w:i/>
          <w:sz w:val="20"/>
          <w:szCs w:val="20"/>
        </w:rPr>
        <w:t xml:space="preserve">Convention on International Civil Aviation </w:t>
      </w:r>
      <w:r w:rsidRPr="00504091">
        <w:rPr>
          <w:sz w:val="20"/>
          <w:szCs w:val="20"/>
        </w:rPr>
        <w:t>(Chicago Convention)</w:t>
      </w:r>
      <w:r>
        <w:rPr>
          <w:sz w:val="20"/>
          <w:szCs w:val="20"/>
        </w:rPr>
        <w:t>, 7 December 1944, Doc. 7300/9 (Article I).</w:t>
      </w:r>
      <w:proofErr w:type="gramEnd"/>
    </w:p>
  </w:footnote>
  <w:footnote w:id="11">
    <w:p w:rsidR="00C31CA1" w:rsidRPr="00371ACA" w:rsidRDefault="00C31CA1">
      <w:pPr>
        <w:pStyle w:val="FootnoteText"/>
        <w:rPr>
          <w:sz w:val="20"/>
          <w:szCs w:val="20"/>
        </w:rPr>
      </w:pPr>
      <w:r w:rsidRPr="00EA15E4">
        <w:rPr>
          <w:rStyle w:val="FootnoteReference"/>
          <w:sz w:val="20"/>
          <w:szCs w:val="20"/>
        </w:rPr>
        <w:footnoteRef/>
      </w:r>
      <w:r w:rsidRPr="00EA15E4">
        <w:rPr>
          <w:sz w:val="20"/>
          <w:szCs w:val="20"/>
        </w:rPr>
        <w:t xml:space="preserve"> </w:t>
      </w:r>
      <w:proofErr w:type="gramStart"/>
      <w:r>
        <w:rPr>
          <w:i/>
          <w:sz w:val="20"/>
          <w:szCs w:val="20"/>
        </w:rPr>
        <w:t>Case concerning Military and Paramilitary Activities in and against Nicaragua,</w:t>
      </w:r>
      <w:r w:rsidRPr="00371ACA">
        <w:rPr>
          <w:sz w:val="20"/>
          <w:szCs w:val="20"/>
        </w:rPr>
        <w:t xml:space="preserve"> [1986]</w:t>
      </w:r>
      <w:r>
        <w:rPr>
          <w:sz w:val="20"/>
          <w:szCs w:val="20"/>
        </w:rPr>
        <w:t xml:space="preserve"> I.C.J. Rep. 14 at 111.</w:t>
      </w:r>
      <w:proofErr w:type="gramEnd"/>
    </w:p>
  </w:footnote>
  <w:footnote w:id="12">
    <w:p w:rsidR="00C31CA1" w:rsidRPr="00EA15E4" w:rsidRDefault="00C31CA1" w:rsidP="008B0D03">
      <w:pPr>
        <w:pStyle w:val="FootnoteText"/>
        <w:rPr>
          <w:sz w:val="20"/>
          <w:szCs w:val="20"/>
        </w:rPr>
      </w:pPr>
      <w:r w:rsidRPr="00EA15E4">
        <w:rPr>
          <w:rStyle w:val="FootnoteReference"/>
          <w:sz w:val="20"/>
          <w:szCs w:val="20"/>
        </w:rPr>
        <w:footnoteRef/>
      </w:r>
      <w:r w:rsidRPr="00EA15E4">
        <w:rPr>
          <w:sz w:val="20"/>
          <w:szCs w:val="20"/>
        </w:rPr>
        <w:t xml:space="preserve"> </w:t>
      </w:r>
      <w:r>
        <w:rPr>
          <w:i/>
          <w:sz w:val="20"/>
          <w:szCs w:val="20"/>
        </w:rPr>
        <w:t xml:space="preserve">Case of S.S. Lotus (France v Turkey) </w:t>
      </w:r>
      <w:r w:rsidRPr="009B7D6C">
        <w:rPr>
          <w:sz w:val="20"/>
          <w:szCs w:val="20"/>
        </w:rPr>
        <w:t>(1927)</w:t>
      </w:r>
      <w:r w:rsidRPr="009B7D6C">
        <w:t xml:space="preserve"> </w:t>
      </w:r>
      <w:r w:rsidRPr="009B7D6C">
        <w:rPr>
          <w:sz w:val="20"/>
          <w:szCs w:val="20"/>
        </w:rPr>
        <w:t xml:space="preserve">P.C.I.J. (ser. </w:t>
      </w:r>
      <w:proofErr w:type="gramStart"/>
      <w:r w:rsidRPr="009B7D6C">
        <w:rPr>
          <w:sz w:val="20"/>
          <w:szCs w:val="20"/>
        </w:rPr>
        <w:t xml:space="preserve">A) No. 10 </w:t>
      </w:r>
      <w:r>
        <w:rPr>
          <w:sz w:val="20"/>
          <w:szCs w:val="20"/>
        </w:rPr>
        <w:t>at 25.</w:t>
      </w:r>
      <w:proofErr w:type="gramEnd"/>
    </w:p>
  </w:footnote>
  <w:footnote w:id="13">
    <w:p w:rsidR="00C31CA1" w:rsidRDefault="00C31CA1">
      <w:pPr>
        <w:pStyle w:val="FootnoteText"/>
      </w:pPr>
      <w:r w:rsidRPr="00EA15E4">
        <w:rPr>
          <w:rStyle w:val="FootnoteReference"/>
          <w:sz w:val="20"/>
          <w:szCs w:val="20"/>
        </w:rPr>
        <w:footnoteRef/>
      </w:r>
      <w:r w:rsidRPr="00EA15E4">
        <w:rPr>
          <w:sz w:val="20"/>
          <w:szCs w:val="20"/>
        </w:rPr>
        <w:t xml:space="preserve"> </w:t>
      </w:r>
      <w:r>
        <w:rPr>
          <w:i/>
          <w:sz w:val="20"/>
          <w:szCs w:val="20"/>
        </w:rPr>
        <w:t xml:space="preserve">Air Transport Association of America and Others, </w:t>
      </w:r>
      <w:r>
        <w:rPr>
          <w:sz w:val="20"/>
          <w:szCs w:val="20"/>
        </w:rPr>
        <w:t xml:space="preserve">Advisory Opinion, </w:t>
      </w:r>
      <w:r>
        <w:rPr>
          <w:i/>
          <w:sz w:val="20"/>
          <w:szCs w:val="20"/>
        </w:rPr>
        <w:t xml:space="preserve">supra </w:t>
      </w:r>
      <w:r>
        <w:rPr>
          <w:sz w:val="20"/>
          <w:szCs w:val="20"/>
        </w:rPr>
        <w:t>note 5 at</w:t>
      </w:r>
      <w:r w:rsidRPr="00EA15E4">
        <w:rPr>
          <w:sz w:val="20"/>
          <w:szCs w:val="20"/>
        </w:rPr>
        <w:t xml:space="preserve"> 39</w:t>
      </w:r>
      <w:r>
        <w:rPr>
          <w:sz w:val="20"/>
          <w:szCs w:val="20"/>
        </w:rPr>
        <w:t>.</w:t>
      </w:r>
    </w:p>
  </w:footnote>
  <w:footnote w:id="14">
    <w:p w:rsidR="00C31CA1" w:rsidRPr="00504091" w:rsidRDefault="00C31CA1">
      <w:pPr>
        <w:pStyle w:val="FootnoteText"/>
        <w:rPr>
          <w:sz w:val="20"/>
          <w:szCs w:val="20"/>
        </w:rPr>
      </w:pPr>
      <w:r w:rsidRPr="00504091">
        <w:rPr>
          <w:rStyle w:val="FootnoteReference"/>
          <w:sz w:val="20"/>
          <w:szCs w:val="20"/>
        </w:rPr>
        <w:footnoteRef/>
      </w:r>
      <w:r w:rsidRPr="00504091">
        <w:rPr>
          <w:sz w:val="20"/>
          <w:szCs w:val="20"/>
        </w:rPr>
        <w:t xml:space="preserve"> </w:t>
      </w:r>
      <w:r w:rsidRPr="00504091">
        <w:rPr>
          <w:i/>
          <w:sz w:val="20"/>
          <w:szCs w:val="20"/>
        </w:rPr>
        <w:t>Chicago Convention</w:t>
      </w:r>
      <w:r>
        <w:rPr>
          <w:sz w:val="20"/>
          <w:szCs w:val="20"/>
        </w:rPr>
        <w:t xml:space="preserve">, </w:t>
      </w:r>
      <w:r>
        <w:rPr>
          <w:i/>
          <w:sz w:val="20"/>
          <w:szCs w:val="20"/>
        </w:rPr>
        <w:t xml:space="preserve">supra </w:t>
      </w:r>
      <w:r>
        <w:rPr>
          <w:sz w:val="20"/>
          <w:szCs w:val="20"/>
        </w:rPr>
        <w:t>note 9 (Article XII).</w:t>
      </w:r>
    </w:p>
  </w:footnote>
  <w:footnote w:id="15">
    <w:p w:rsidR="00C31CA1" w:rsidRPr="00504091" w:rsidRDefault="00C31CA1">
      <w:pPr>
        <w:pStyle w:val="FootnoteText"/>
        <w:rPr>
          <w:sz w:val="20"/>
          <w:szCs w:val="20"/>
        </w:rPr>
      </w:pPr>
      <w:r w:rsidRPr="00FD787D">
        <w:rPr>
          <w:rStyle w:val="FootnoteReference"/>
          <w:sz w:val="20"/>
          <w:szCs w:val="20"/>
        </w:rPr>
        <w:footnoteRef/>
      </w:r>
      <w:r>
        <w:rPr>
          <w:rFonts w:ascii="Times New Roman" w:hAnsi="Times New Roman" w:cs="Times New Roman"/>
          <w:sz w:val="20"/>
          <w:szCs w:val="20"/>
        </w:rPr>
        <w:t xml:space="preserve"> Cedric Ryngaert,</w:t>
      </w:r>
      <w:r>
        <w:rPr>
          <w:rFonts w:ascii="Times New Roman" w:hAnsi="Times New Roman" w:cs="Times New Roman"/>
          <w:i/>
          <w:sz w:val="20"/>
          <w:szCs w:val="20"/>
        </w:rPr>
        <w:t xml:space="preserve"> Facing the Limits of the Law</w:t>
      </w:r>
      <w:r w:rsidRPr="00FD787D">
        <w:rPr>
          <w:rFonts w:ascii="Times New Roman" w:hAnsi="Times New Roman" w:cs="Times New Roman"/>
          <w:sz w:val="20"/>
          <w:szCs w:val="20"/>
        </w:rPr>
        <w:t xml:space="preserve">, </w:t>
      </w:r>
      <w:r>
        <w:rPr>
          <w:rFonts w:ascii="Times New Roman" w:hAnsi="Times New Roman" w:cs="Times New Roman"/>
          <w:sz w:val="20"/>
          <w:szCs w:val="20"/>
        </w:rPr>
        <w:t>Erik Claes, Wouter Devroe &amp;</w:t>
      </w:r>
      <w:r w:rsidRPr="00FD42C1">
        <w:rPr>
          <w:rFonts w:ascii="Times New Roman" w:hAnsi="Times New Roman" w:cs="Times New Roman"/>
          <w:sz w:val="20"/>
          <w:szCs w:val="20"/>
        </w:rPr>
        <w:t>Bert Keirsbilck</w:t>
      </w:r>
      <w:r>
        <w:rPr>
          <w:rFonts w:ascii="Times New Roman" w:hAnsi="Times New Roman" w:cs="Times New Roman"/>
          <w:sz w:val="20"/>
          <w:szCs w:val="20"/>
        </w:rPr>
        <w:t xml:space="preserve"> (Berlin, Springer 2009) at </w:t>
      </w:r>
      <w:r w:rsidRPr="00FD787D">
        <w:rPr>
          <w:rFonts w:ascii="Times New Roman" w:hAnsi="Times New Roman" w:cs="Times New Roman"/>
          <w:sz w:val="20"/>
          <w:szCs w:val="20"/>
        </w:rPr>
        <w:t>238</w:t>
      </w:r>
      <w:r>
        <w:rPr>
          <w:rFonts w:ascii="Times New Roman" w:hAnsi="Times New Roman" w:cs="Times New Roman"/>
          <w:sz w:val="20"/>
          <w:szCs w:val="20"/>
        </w:rPr>
        <w:t xml:space="preserve">. </w:t>
      </w:r>
    </w:p>
  </w:footnote>
  <w:footnote w:id="16">
    <w:p w:rsidR="00C31CA1" w:rsidRPr="00504091" w:rsidRDefault="00C31CA1">
      <w:pPr>
        <w:pStyle w:val="FootnoteText"/>
        <w:rPr>
          <w:sz w:val="20"/>
          <w:szCs w:val="20"/>
        </w:rPr>
      </w:pPr>
      <w:r w:rsidRPr="00504091">
        <w:rPr>
          <w:rStyle w:val="FootnoteReference"/>
          <w:sz w:val="20"/>
          <w:szCs w:val="20"/>
        </w:rPr>
        <w:footnoteRef/>
      </w:r>
      <w:r w:rsidRPr="00504091">
        <w:rPr>
          <w:sz w:val="20"/>
          <w:szCs w:val="20"/>
        </w:rPr>
        <w:t xml:space="preserve"> </w:t>
      </w:r>
      <w:r>
        <w:rPr>
          <w:sz w:val="20"/>
          <w:szCs w:val="20"/>
        </w:rPr>
        <w:t xml:space="preserve">Intervener IATA/NACC, </w:t>
      </w:r>
      <w:r w:rsidRPr="00610B94">
        <w:rPr>
          <w:i/>
          <w:sz w:val="20"/>
          <w:szCs w:val="20"/>
        </w:rPr>
        <w:t>supra</w:t>
      </w:r>
      <w:r>
        <w:rPr>
          <w:sz w:val="20"/>
          <w:szCs w:val="20"/>
        </w:rPr>
        <w:t xml:space="preserve"> note 7 at 6, 39, &amp; 65 citing </w:t>
      </w:r>
      <w:r w:rsidRPr="00610B94">
        <w:rPr>
          <w:sz w:val="20"/>
          <w:szCs w:val="20"/>
        </w:rPr>
        <w:t>Ian</w:t>
      </w:r>
      <w:r w:rsidRPr="00B32EFD">
        <w:rPr>
          <w:sz w:val="20"/>
          <w:szCs w:val="20"/>
        </w:rPr>
        <w:t xml:space="preserve"> Brownlie, </w:t>
      </w:r>
      <w:r w:rsidRPr="00B32EFD">
        <w:rPr>
          <w:i/>
          <w:sz w:val="20"/>
          <w:szCs w:val="20"/>
        </w:rPr>
        <w:t>Principles of Public International Law</w:t>
      </w:r>
      <w:r>
        <w:rPr>
          <w:sz w:val="20"/>
          <w:szCs w:val="20"/>
        </w:rPr>
        <w:t>, 7th ed. (New York, Oxford University Press, 2008) at 306.  (The interveners for the Claimant rely to a large extent on these principles of international law and reject that the EU Directive meets any of these principles.).</w:t>
      </w:r>
    </w:p>
  </w:footnote>
  <w:footnote w:id="17">
    <w:p w:rsidR="00C31CA1" w:rsidRPr="00F53EEE" w:rsidRDefault="00C31CA1" w:rsidP="00340104">
      <w:pPr>
        <w:pStyle w:val="FootnoteText"/>
        <w:rPr>
          <w:rFonts w:ascii="Times New Roman" w:hAnsi="Times New Roman" w:cs="Times New Roman"/>
          <w:sz w:val="20"/>
          <w:szCs w:val="20"/>
        </w:rPr>
      </w:pPr>
      <w:r w:rsidRPr="00504091">
        <w:rPr>
          <w:rStyle w:val="FootnoteReference"/>
          <w:rFonts w:ascii="Times New Roman" w:hAnsi="Times New Roman" w:cs="Times New Roman"/>
          <w:sz w:val="20"/>
          <w:szCs w:val="20"/>
        </w:rPr>
        <w:footnoteRef/>
      </w:r>
      <w:r w:rsidRPr="00504091">
        <w:rPr>
          <w:rFonts w:ascii="Times New Roman" w:hAnsi="Times New Roman" w:cs="Times New Roman"/>
          <w:sz w:val="20"/>
          <w:szCs w:val="20"/>
        </w:rPr>
        <w:t xml:space="preserve"> </w:t>
      </w:r>
      <w:r>
        <w:rPr>
          <w:rFonts w:ascii="Times New Roman" w:hAnsi="Times New Roman" w:cs="Times New Roman"/>
          <w:sz w:val="20"/>
          <w:szCs w:val="20"/>
        </w:rPr>
        <w:t xml:space="preserve">Restatement (Third) </w:t>
      </w:r>
      <w:r w:rsidRPr="00F53EEE">
        <w:rPr>
          <w:rFonts w:ascii="Times New Roman" w:hAnsi="Times New Roman" w:cs="Times New Roman"/>
          <w:sz w:val="20"/>
          <w:szCs w:val="20"/>
        </w:rPr>
        <w:t>of United States Foreign Relation Law § 403 (1987)</w:t>
      </w:r>
      <w:r>
        <w:rPr>
          <w:rFonts w:ascii="Times New Roman" w:hAnsi="Times New Roman" w:cs="Times New Roman"/>
          <w:sz w:val="20"/>
          <w:szCs w:val="20"/>
        </w:rPr>
        <w:t xml:space="preserve"> (The interveners for the Claimant rely to some extent on the Restatements but include an intent element that was included in past jurisprudence and under the Restatement (Second) of United States Foreign Relation Law.).</w:t>
      </w:r>
    </w:p>
  </w:footnote>
  <w:footnote w:id="18">
    <w:p w:rsidR="00C31CA1" w:rsidRDefault="00C31CA1">
      <w:pPr>
        <w:pStyle w:val="FootnoteText"/>
      </w:pPr>
      <w:r w:rsidRPr="00F53EEE">
        <w:rPr>
          <w:rStyle w:val="FootnoteReference"/>
          <w:rFonts w:ascii="Times New Roman" w:hAnsi="Times New Roman" w:cs="Times New Roman"/>
          <w:sz w:val="20"/>
          <w:szCs w:val="20"/>
        </w:rPr>
        <w:footnoteRef/>
      </w:r>
      <w:r w:rsidRPr="00F53EEE">
        <w:rPr>
          <w:rFonts w:ascii="Times New Roman" w:hAnsi="Times New Roman" w:cs="Times New Roman"/>
          <w:sz w:val="20"/>
          <w:szCs w:val="20"/>
        </w:rPr>
        <w:t xml:space="preserve"> </w:t>
      </w:r>
      <w:r w:rsidRPr="00F53EEE">
        <w:rPr>
          <w:rFonts w:ascii="Times New Roman" w:hAnsi="Times New Roman" w:cs="Times New Roman"/>
          <w:i/>
          <w:sz w:val="20"/>
          <w:szCs w:val="20"/>
        </w:rPr>
        <w:t>United States v Aluminum Co. of America</w:t>
      </w:r>
      <w:r w:rsidRPr="00F53EEE">
        <w:rPr>
          <w:rFonts w:ascii="Times New Roman" w:hAnsi="Times New Roman" w:cs="Times New Roman"/>
          <w:sz w:val="20"/>
          <w:szCs w:val="20"/>
        </w:rPr>
        <w:t>, 148 F.2d 416</w:t>
      </w:r>
      <w:r>
        <w:rPr>
          <w:rFonts w:ascii="Times New Roman" w:hAnsi="Times New Roman" w:cs="Times New Roman"/>
          <w:sz w:val="20"/>
          <w:szCs w:val="20"/>
        </w:rPr>
        <w:t xml:space="preserve"> at 444 </w:t>
      </w:r>
      <w:r w:rsidRPr="00F53EEE">
        <w:rPr>
          <w:rFonts w:ascii="Times New Roman" w:hAnsi="Times New Roman" w:cs="Times New Roman"/>
          <w:sz w:val="20"/>
          <w:szCs w:val="20"/>
        </w:rPr>
        <w:t xml:space="preserve"> (2nd Cir. 1945)</w:t>
      </w:r>
      <w:r>
        <w:rPr>
          <w:rFonts w:ascii="Times New Roman" w:hAnsi="Times New Roman" w:cs="Times New Roman"/>
          <w:sz w:val="20"/>
          <w:szCs w:val="20"/>
        </w:rPr>
        <w:t xml:space="preserve"> (</w:t>
      </w:r>
      <w:r w:rsidRPr="009C4BDD">
        <w:rPr>
          <w:rFonts w:ascii="Times New Roman" w:hAnsi="Times New Roman" w:cs="Times New Roman"/>
          <w:sz w:val="20"/>
          <w:szCs w:val="20"/>
        </w:rPr>
        <w:t>In Alcoa, a corporation in Switzerla</w:t>
      </w:r>
      <w:r>
        <w:rPr>
          <w:rFonts w:ascii="Times New Roman" w:hAnsi="Times New Roman" w:cs="Times New Roman"/>
          <w:sz w:val="20"/>
          <w:szCs w:val="20"/>
        </w:rPr>
        <w:t>nd engaged in violations of US</w:t>
      </w:r>
      <w:r w:rsidRPr="009C4BDD">
        <w:rPr>
          <w:rFonts w:ascii="Times New Roman" w:hAnsi="Times New Roman" w:cs="Times New Roman"/>
          <w:sz w:val="20"/>
          <w:szCs w:val="20"/>
        </w:rPr>
        <w:t xml:space="preserve"> anti-trust law in which the impact of the violation would affect </w:t>
      </w:r>
      <w:r>
        <w:rPr>
          <w:rFonts w:ascii="Times New Roman" w:hAnsi="Times New Roman" w:cs="Times New Roman"/>
          <w:sz w:val="20"/>
          <w:szCs w:val="20"/>
        </w:rPr>
        <w:t>US imports</w:t>
      </w:r>
      <w:r w:rsidRPr="009C4BDD">
        <w:rPr>
          <w:rFonts w:ascii="Times New Roman" w:hAnsi="Times New Roman" w:cs="Times New Roman"/>
          <w:sz w:val="20"/>
          <w:szCs w:val="20"/>
        </w:rPr>
        <w:t xml:space="preserve">.  The court found that the defendants' actions were “unlawful, though made abroad, if they were intended to affect imports and did affect them.”  </w:t>
      </w:r>
      <w:r>
        <w:rPr>
          <w:rFonts w:ascii="Times New Roman" w:hAnsi="Times New Roman" w:cs="Times New Roman"/>
          <w:sz w:val="20"/>
          <w:szCs w:val="20"/>
        </w:rPr>
        <w:t>This is the genesis of the</w:t>
      </w:r>
      <w:r w:rsidRPr="009C4BDD">
        <w:rPr>
          <w:rFonts w:ascii="Times New Roman" w:hAnsi="Times New Roman" w:cs="Times New Roman"/>
          <w:sz w:val="20"/>
          <w:szCs w:val="20"/>
        </w:rPr>
        <w:t xml:space="preserve"> the “effects test,” by affording extraterritorial reach to the Sherman Act if the defendant intended to affect commerce within the United States and was successful.</w:t>
      </w:r>
      <w:r>
        <w:rPr>
          <w:rFonts w:ascii="Times New Roman" w:hAnsi="Times New Roman" w:cs="Times New Roman"/>
          <w:sz w:val="20"/>
          <w:szCs w:val="20"/>
        </w:rPr>
        <w:t>).</w:t>
      </w:r>
    </w:p>
  </w:footnote>
  <w:footnote w:id="19">
    <w:p w:rsidR="00C31CA1" w:rsidRPr="00B47CF5" w:rsidRDefault="00C31CA1" w:rsidP="008E55BF">
      <w:pPr>
        <w:pStyle w:val="FootnoteText"/>
        <w:rPr>
          <w:rFonts w:ascii="Times New Roman" w:hAnsi="Times New Roman" w:cs="Times New Roman"/>
          <w:sz w:val="20"/>
          <w:szCs w:val="20"/>
        </w:rPr>
      </w:pPr>
      <w:r w:rsidRPr="00B47CF5">
        <w:rPr>
          <w:rStyle w:val="FootnoteReference"/>
          <w:rFonts w:ascii="Times New Roman" w:hAnsi="Times New Roman" w:cs="Times New Roman"/>
          <w:sz w:val="20"/>
          <w:szCs w:val="20"/>
        </w:rPr>
        <w:footnoteRef/>
      </w:r>
      <w:r>
        <w:rPr>
          <w:rFonts w:ascii="Times New Roman" w:hAnsi="Times New Roman" w:cs="Times New Roman"/>
          <w:sz w:val="20"/>
          <w:szCs w:val="20"/>
        </w:rPr>
        <w:t xml:space="preserve"> Kathleen Hixon, “</w:t>
      </w:r>
      <w:r w:rsidRPr="00B47CF5">
        <w:rPr>
          <w:rFonts w:ascii="Times New Roman" w:hAnsi="Times New Roman" w:cs="Times New Roman"/>
          <w:sz w:val="20"/>
          <w:szCs w:val="20"/>
        </w:rPr>
        <w:t xml:space="preserve">Extraterritorial Jurisdiction </w:t>
      </w:r>
      <w:proofErr w:type="gramStart"/>
      <w:r w:rsidRPr="00B47CF5">
        <w:rPr>
          <w:rFonts w:ascii="Times New Roman" w:hAnsi="Times New Roman" w:cs="Times New Roman"/>
          <w:sz w:val="20"/>
          <w:szCs w:val="20"/>
        </w:rPr>
        <w:t>Under</w:t>
      </w:r>
      <w:proofErr w:type="gramEnd"/>
      <w:r w:rsidRPr="00B47CF5">
        <w:rPr>
          <w:rFonts w:ascii="Times New Roman" w:hAnsi="Times New Roman" w:cs="Times New Roman"/>
          <w:sz w:val="20"/>
          <w:szCs w:val="20"/>
        </w:rPr>
        <w:t xml:space="preserve"> the Third Restatement of Foreign Relations Law of the United States</w:t>
      </w:r>
      <w:r>
        <w:rPr>
          <w:rFonts w:ascii="Times New Roman" w:hAnsi="Times New Roman" w:cs="Times New Roman"/>
          <w:sz w:val="20"/>
          <w:szCs w:val="20"/>
        </w:rPr>
        <w:t>” (1988) 12 Fordham International L.J. 127 at</w:t>
      </w:r>
      <w:r w:rsidRPr="00B47CF5">
        <w:rPr>
          <w:rFonts w:ascii="Times New Roman" w:hAnsi="Times New Roman" w:cs="Times New Roman"/>
          <w:sz w:val="20"/>
          <w:szCs w:val="20"/>
        </w:rPr>
        <w:t xml:space="preserve"> 137</w:t>
      </w:r>
      <w:r>
        <w:rPr>
          <w:rFonts w:ascii="Times New Roman" w:hAnsi="Times New Roman" w:cs="Times New Roman"/>
          <w:sz w:val="20"/>
          <w:szCs w:val="20"/>
        </w:rPr>
        <w:t>.</w:t>
      </w:r>
    </w:p>
  </w:footnote>
  <w:footnote w:id="20">
    <w:p w:rsidR="00C31CA1" w:rsidRPr="00E86DC7" w:rsidRDefault="00C31CA1" w:rsidP="000E6BC5">
      <w:pPr>
        <w:pStyle w:val="FootnoteText"/>
        <w:rPr>
          <w:rFonts w:ascii="Times New Roman" w:hAnsi="Times New Roman" w:cs="Times New Roman"/>
          <w:sz w:val="20"/>
          <w:szCs w:val="20"/>
        </w:rPr>
      </w:pPr>
      <w:r w:rsidRPr="00B47CF5">
        <w:rPr>
          <w:rStyle w:val="FootnoteReference"/>
          <w:rFonts w:ascii="Times New Roman" w:hAnsi="Times New Roman" w:cs="Times New Roman"/>
          <w:sz w:val="20"/>
          <w:szCs w:val="20"/>
        </w:rPr>
        <w:footnoteRef/>
      </w:r>
      <w:r w:rsidRPr="00B47CF5">
        <w:rPr>
          <w:rFonts w:ascii="Times New Roman" w:hAnsi="Times New Roman" w:cs="Times New Roman"/>
          <w:sz w:val="20"/>
          <w:szCs w:val="20"/>
        </w:rPr>
        <w:t xml:space="preserve"> </w:t>
      </w:r>
      <w:proofErr w:type="gramStart"/>
      <w:r>
        <w:rPr>
          <w:rFonts w:ascii="Times New Roman" w:hAnsi="Times New Roman" w:cs="Times New Roman"/>
          <w:sz w:val="20"/>
          <w:szCs w:val="20"/>
        </w:rPr>
        <w:t>Ibid. at</w:t>
      </w:r>
      <w:r w:rsidRPr="00B47CF5">
        <w:rPr>
          <w:rFonts w:ascii="Times New Roman" w:hAnsi="Times New Roman" w:cs="Times New Roman"/>
          <w:sz w:val="20"/>
          <w:szCs w:val="20"/>
        </w:rPr>
        <w:t xml:space="preserve"> </w:t>
      </w:r>
      <w:r w:rsidRPr="00E86DC7">
        <w:rPr>
          <w:rFonts w:ascii="Times New Roman" w:hAnsi="Times New Roman" w:cs="Times New Roman"/>
          <w:sz w:val="20"/>
          <w:szCs w:val="20"/>
        </w:rPr>
        <w:t>134.</w:t>
      </w:r>
      <w:proofErr w:type="gramEnd"/>
      <w:r>
        <w:rPr>
          <w:rFonts w:ascii="Times New Roman" w:hAnsi="Times New Roman" w:cs="Times New Roman"/>
          <w:sz w:val="20"/>
          <w:szCs w:val="20"/>
        </w:rPr>
        <w:t xml:space="preserve"> (This is also referred to as the “effects principle” within the notes relating to the Restatement.).</w:t>
      </w:r>
    </w:p>
  </w:footnote>
  <w:footnote w:id="21">
    <w:p w:rsidR="00C31CA1" w:rsidRPr="00E86DC7" w:rsidRDefault="00C31CA1" w:rsidP="009C4BDD">
      <w:pPr>
        <w:pStyle w:val="NoSpacing"/>
        <w:rPr>
          <w:rFonts w:ascii="Times New Roman" w:hAnsi="Times New Roman" w:cs="Times New Roman"/>
          <w:sz w:val="20"/>
          <w:szCs w:val="20"/>
        </w:rPr>
      </w:pPr>
      <w:r w:rsidRPr="00E86DC7">
        <w:rPr>
          <w:rStyle w:val="FootnoteReference"/>
          <w:rFonts w:ascii="Times New Roman" w:hAnsi="Times New Roman" w:cs="Times New Roman"/>
          <w:sz w:val="20"/>
          <w:szCs w:val="20"/>
        </w:rPr>
        <w:footnoteRef/>
      </w:r>
      <w:r w:rsidRPr="00E86DC7">
        <w:rPr>
          <w:rFonts w:ascii="Times New Roman" w:hAnsi="Times New Roman" w:cs="Times New Roman"/>
          <w:sz w:val="20"/>
          <w:szCs w:val="20"/>
        </w:rPr>
        <w:t xml:space="preserve"> Restatement (Third) </w:t>
      </w:r>
      <w:r w:rsidRPr="00E86DC7">
        <w:rPr>
          <w:rFonts w:ascii="Times New Roman" w:hAnsi="Times New Roman" w:cs="Times New Roman"/>
          <w:i/>
          <w:sz w:val="20"/>
          <w:szCs w:val="20"/>
        </w:rPr>
        <w:t xml:space="preserve">supra </w:t>
      </w:r>
      <w:r w:rsidRPr="00E86DC7">
        <w:rPr>
          <w:rFonts w:ascii="Times New Roman" w:hAnsi="Times New Roman" w:cs="Times New Roman"/>
          <w:sz w:val="20"/>
          <w:szCs w:val="20"/>
        </w:rPr>
        <w:t>note 16 § 403 (The non-exhaustive list of factors to consider are as follows:</w:t>
      </w:r>
    </w:p>
    <w:p w:rsidR="00C31CA1" w:rsidRPr="00E86DC7" w:rsidRDefault="00C31CA1" w:rsidP="00E86DC7">
      <w:pPr>
        <w:pStyle w:val="NoSpacing"/>
        <w:rPr>
          <w:rFonts w:ascii="Times New Roman" w:hAnsi="Times New Roman" w:cs="Times New Roman"/>
          <w:sz w:val="20"/>
          <w:szCs w:val="20"/>
        </w:rPr>
      </w:pPr>
      <w:r>
        <w:rPr>
          <w:rFonts w:ascii="Times New Roman" w:hAnsi="Times New Roman" w:cs="Times New Roman"/>
          <w:sz w:val="20"/>
          <w:szCs w:val="20"/>
        </w:rPr>
        <w:t xml:space="preserve">1) </w:t>
      </w:r>
      <w:r w:rsidRPr="00E86DC7">
        <w:rPr>
          <w:rFonts w:ascii="Times New Roman" w:hAnsi="Times New Roman" w:cs="Times New Roman"/>
          <w:sz w:val="20"/>
          <w:szCs w:val="20"/>
        </w:rPr>
        <w:t>the character of the activity to be regulated, the importance of regulation to the regulating state, the extent to which other states regulate such activities, and the degree to which the desirability of such regulation is generally accepted;</w:t>
      </w:r>
      <w:r>
        <w:rPr>
          <w:rFonts w:ascii="Times New Roman" w:hAnsi="Times New Roman" w:cs="Times New Roman"/>
          <w:sz w:val="20"/>
          <w:szCs w:val="20"/>
        </w:rPr>
        <w:t xml:space="preserve"> </w:t>
      </w:r>
      <w:r w:rsidRPr="00E86DC7">
        <w:rPr>
          <w:rFonts w:ascii="Times New Roman" w:hAnsi="Times New Roman" w:cs="Times New Roman"/>
          <w:sz w:val="20"/>
          <w:szCs w:val="20"/>
        </w:rPr>
        <w:t>the importance of the regulation to the international political, legal, or economic system;</w:t>
      </w:r>
      <w:r>
        <w:rPr>
          <w:rFonts w:ascii="Times New Roman" w:hAnsi="Times New Roman" w:cs="Times New Roman"/>
          <w:sz w:val="20"/>
          <w:szCs w:val="20"/>
        </w:rPr>
        <w:t xml:space="preserve"> 2) </w:t>
      </w:r>
      <w:r w:rsidRPr="00E86DC7">
        <w:rPr>
          <w:rFonts w:ascii="Times New Roman" w:hAnsi="Times New Roman" w:cs="Times New Roman"/>
          <w:sz w:val="20"/>
          <w:szCs w:val="20"/>
        </w:rPr>
        <w:t>the extent to which another state may have an interest in regulating the activity; and</w:t>
      </w:r>
      <w:r>
        <w:rPr>
          <w:rFonts w:ascii="Times New Roman" w:hAnsi="Times New Roman" w:cs="Times New Roman"/>
          <w:sz w:val="20"/>
          <w:szCs w:val="20"/>
        </w:rPr>
        <w:t xml:space="preserve"> 3</w:t>
      </w:r>
      <w:proofErr w:type="gramStart"/>
      <w:r>
        <w:rPr>
          <w:rFonts w:ascii="Times New Roman" w:hAnsi="Times New Roman" w:cs="Times New Roman"/>
          <w:sz w:val="20"/>
          <w:szCs w:val="20"/>
        </w:rPr>
        <w:t>)</w:t>
      </w:r>
      <w:r w:rsidRPr="00E86DC7">
        <w:rPr>
          <w:rFonts w:ascii="Times New Roman" w:hAnsi="Times New Roman" w:cs="Times New Roman"/>
          <w:sz w:val="20"/>
          <w:szCs w:val="20"/>
        </w:rPr>
        <w:t>the</w:t>
      </w:r>
      <w:proofErr w:type="gramEnd"/>
      <w:r w:rsidRPr="00E86DC7">
        <w:rPr>
          <w:rFonts w:ascii="Times New Roman" w:hAnsi="Times New Roman" w:cs="Times New Roman"/>
          <w:sz w:val="20"/>
          <w:szCs w:val="20"/>
        </w:rPr>
        <w:t xml:space="preserve"> likelihood of conflict with regulation by another state</w:t>
      </w:r>
      <w:r>
        <w:rPr>
          <w:rFonts w:ascii="Times New Roman" w:hAnsi="Times New Roman" w:cs="Times New Roman"/>
          <w:sz w:val="20"/>
          <w:szCs w:val="20"/>
        </w:rPr>
        <w:t>.</w:t>
      </w:r>
      <w:r w:rsidRPr="00E86DC7">
        <w:rPr>
          <w:rFonts w:ascii="Times New Roman" w:hAnsi="Times New Roman" w:cs="Times New Roman"/>
          <w:sz w:val="20"/>
          <w:szCs w:val="20"/>
        </w:rPr>
        <w:t>)</w:t>
      </w:r>
      <w:r>
        <w:rPr>
          <w:rFonts w:ascii="Times New Roman" w:hAnsi="Times New Roman" w:cs="Times New Roman"/>
          <w:sz w:val="20"/>
          <w:szCs w:val="20"/>
        </w:rPr>
        <w:t>.</w:t>
      </w:r>
    </w:p>
  </w:footnote>
  <w:footnote w:id="22">
    <w:p w:rsidR="00C31CA1" w:rsidRPr="00E86DC7" w:rsidRDefault="00C31CA1" w:rsidP="00340104">
      <w:pPr>
        <w:pStyle w:val="FootnoteText"/>
        <w:rPr>
          <w:rFonts w:ascii="Times New Roman" w:hAnsi="Times New Roman" w:cs="Times New Roman"/>
          <w:sz w:val="20"/>
          <w:szCs w:val="20"/>
        </w:rPr>
      </w:pPr>
      <w:r w:rsidRPr="00E86DC7">
        <w:rPr>
          <w:rStyle w:val="FootnoteReference"/>
          <w:rFonts w:ascii="Times New Roman" w:hAnsi="Times New Roman" w:cs="Times New Roman"/>
          <w:sz w:val="20"/>
          <w:szCs w:val="20"/>
        </w:rPr>
        <w:footnoteRef/>
      </w:r>
      <w:r w:rsidRPr="00E86DC7">
        <w:rPr>
          <w:rFonts w:ascii="Times New Roman" w:hAnsi="Times New Roman" w:cs="Times New Roman"/>
          <w:sz w:val="20"/>
          <w:szCs w:val="20"/>
        </w:rPr>
        <w:t xml:space="preserve"> </w:t>
      </w:r>
      <w:r w:rsidRPr="00E86DC7">
        <w:rPr>
          <w:rFonts w:ascii="Times New Roman" w:hAnsi="Times New Roman" w:cs="Times New Roman"/>
          <w:i/>
          <w:sz w:val="20"/>
          <w:szCs w:val="20"/>
        </w:rPr>
        <w:t>Laker Airways Ltd. v. Sabena, Belgian World Airlines</w:t>
      </w:r>
      <w:r>
        <w:rPr>
          <w:rFonts w:ascii="Times New Roman" w:hAnsi="Times New Roman" w:cs="Times New Roman"/>
          <w:sz w:val="20"/>
          <w:szCs w:val="20"/>
        </w:rPr>
        <w:t>, 731 F. 2d 909 at</w:t>
      </w:r>
      <w:r w:rsidRPr="00E86DC7">
        <w:rPr>
          <w:rFonts w:ascii="Times New Roman" w:hAnsi="Times New Roman" w:cs="Times New Roman"/>
          <w:sz w:val="20"/>
          <w:szCs w:val="20"/>
        </w:rPr>
        <w:t xml:space="preserve"> 952 (D.C. Cir 1984)</w:t>
      </w:r>
      <w:r>
        <w:rPr>
          <w:rFonts w:ascii="Times New Roman" w:hAnsi="Times New Roman" w:cs="Times New Roman"/>
          <w:sz w:val="20"/>
          <w:szCs w:val="20"/>
        </w:rPr>
        <w:t xml:space="preserve"> (“[N]o rule of international law [holds] that a ‘more reasonable’ assertion of jurisdiction mandatorily displaces a ‘less reasonable’ assertion…”).</w:t>
      </w:r>
    </w:p>
  </w:footnote>
  <w:footnote w:id="23">
    <w:p w:rsidR="00C31CA1" w:rsidRPr="00ED282B" w:rsidRDefault="00C31CA1">
      <w:pPr>
        <w:pStyle w:val="FootnoteText"/>
        <w:rPr>
          <w:rFonts w:ascii="Times New Roman" w:hAnsi="Times New Roman" w:cs="Times New Roman"/>
          <w:sz w:val="20"/>
          <w:szCs w:val="20"/>
        </w:rPr>
      </w:pPr>
      <w:r w:rsidRPr="00ED282B">
        <w:rPr>
          <w:rStyle w:val="FootnoteReference"/>
          <w:rFonts w:ascii="Times New Roman" w:hAnsi="Times New Roman" w:cs="Times New Roman"/>
          <w:sz w:val="20"/>
          <w:szCs w:val="20"/>
        </w:rPr>
        <w:footnoteRef/>
      </w:r>
      <w:r w:rsidRPr="00ED282B">
        <w:rPr>
          <w:rFonts w:ascii="Times New Roman" w:hAnsi="Times New Roman" w:cs="Times New Roman"/>
          <w:sz w:val="20"/>
          <w:szCs w:val="20"/>
        </w:rPr>
        <w:t xml:space="preserve"> See for example </w:t>
      </w:r>
      <w:r w:rsidRPr="00ED282B">
        <w:rPr>
          <w:rFonts w:ascii="Times New Roman" w:hAnsi="Times New Roman" w:cs="Times New Roman"/>
          <w:i/>
          <w:sz w:val="20"/>
          <w:szCs w:val="20"/>
        </w:rPr>
        <w:t xml:space="preserve">United States. </w:t>
      </w:r>
      <w:proofErr w:type="gramStart"/>
      <w:r w:rsidRPr="00ED282B">
        <w:rPr>
          <w:rFonts w:ascii="Times New Roman" w:hAnsi="Times New Roman" w:cs="Times New Roman"/>
          <w:i/>
          <w:sz w:val="20"/>
          <w:szCs w:val="20"/>
        </w:rPr>
        <w:t>v</w:t>
      </w:r>
      <w:proofErr w:type="gramEnd"/>
      <w:r w:rsidRPr="00ED282B">
        <w:rPr>
          <w:rFonts w:ascii="Times New Roman" w:hAnsi="Times New Roman" w:cs="Times New Roman"/>
          <w:i/>
          <w:sz w:val="20"/>
          <w:szCs w:val="20"/>
        </w:rPr>
        <w:t xml:space="preserve"> Noriega</w:t>
      </w:r>
      <w:r w:rsidRPr="00ED282B">
        <w:rPr>
          <w:rFonts w:ascii="Times New Roman" w:hAnsi="Times New Roman" w:cs="Times New Roman"/>
          <w:sz w:val="20"/>
          <w:szCs w:val="20"/>
        </w:rPr>
        <w:t>, 746 F.Supp. 1506 at 1514–1515 (11th Cir.1997)</w:t>
      </w:r>
      <w:r>
        <w:rPr>
          <w:rFonts w:ascii="Times New Roman" w:hAnsi="Times New Roman" w:cs="Times New Roman"/>
          <w:sz w:val="20"/>
          <w:szCs w:val="20"/>
        </w:rPr>
        <w:t>.</w:t>
      </w:r>
    </w:p>
  </w:footnote>
  <w:footnote w:id="24">
    <w:p w:rsidR="00C31CA1" w:rsidRPr="00ED282B" w:rsidRDefault="00C31CA1" w:rsidP="00735AFB">
      <w:pPr>
        <w:pStyle w:val="FootnoteText"/>
        <w:rPr>
          <w:rFonts w:ascii="Times New Roman" w:hAnsi="Times New Roman" w:cs="Times New Roman"/>
          <w:sz w:val="20"/>
          <w:szCs w:val="20"/>
        </w:rPr>
      </w:pPr>
      <w:r w:rsidRPr="00ED282B">
        <w:rPr>
          <w:rStyle w:val="FootnoteReference"/>
          <w:rFonts w:ascii="Times New Roman" w:hAnsi="Times New Roman" w:cs="Times New Roman"/>
          <w:sz w:val="20"/>
          <w:szCs w:val="20"/>
        </w:rPr>
        <w:footnoteRef/>
      </w:r>
      <w:r>
        <w:rPr>
          <w:rFonts w:ascii="Times New Roman" w:hAnsi="Times New Roman" w:cs="Times New Roman"/>
          <w:sz w:val="20"/>
          <w:szCs w:val="20"/>
        </w:rPr>
        <w:t xml:space="preserve"> EC, Council Directive</w:t>
      </w:r>
      <w:r w:rsidRPr="00ED282B">
        <w:rPr>
          <w:rFonts w:ascii="Times New Roman" w:hAnsi="Times New Roman" w:cs="Times New Roman"/>
          <w:sz w:val="20"/>
          <w:szCs w:val="20"/>
        </w:rPr>
        <w:t xml:space="preserve"> 2008/101, </w:t>
      </w:r>
      <w:r w:rsidRPr="00ED282B">
        <w:rPr>
          <w:rFonts w:ascii="Times New Roman" w:hAnsi="Times New Roman" w:cs="Times New Roman"/>
          <w:i/>
          <w:sz w:val="20"/>
          <w:szCs w:val="20"/>
        </w:rPr>
        <w:t xml:space="preserve">supra </w:t>
      </w:r>
      <w:r w:rsidRPr="00ED282B">
        <w:rPr>
          <w:rFonts w:ascii="Times New Roman" w:hAnsi="Times New Roman" w:cs="Times New Roman"/>
          <w:sz w:val="20"/>
          <w:szCs w:val="20"/>
        </w:rPr>
        <w:t>note 1 at 5.</w:t>
      </w:r>
    </w:p>
  </w:footnote>
  <w:footnote w:id="25">
    <w:p w:rsidR="00C31CA1" w:rsidRPr="00ED282B" w:rsidRDefault="00C31CA1">
      <w:pPr>
        <w:pStyle w:val="FootnoteText"/>
        <w:rPr>
          <w:rFonts w:ascii="Times New Roman" w:hAnsi="Times New Roman" w:cs="Times New Roman"/>
          <w:sz w:val="20"/>
          <w:szCs w:val="20"/>
        </w:rPr>
      </w:pPr>
      <w:r w:rsidRPr="00ED282B">
        <w:rPr>
          <w:rStyle w:val="FootnoteReference"/>
          <w:rFonts w:ascii="Times New Roman" w:hAnsi="Times New Roman" w:cs="Times New Roman"/>
          <w:sz w:val="20"/>
          <w:szCs w:val="20"/>
        </w:rPr>
        <w:footnoteRef/>
      </w:r>
      <w:r w:rsidRPr="00ED282B">
        <w:rPr>
          <w:rFonts w:ascii="Times New Roman" w:hAnsi="Times New Roman" w:cs="Times New Roman"/>
          <w:sz w:val="20"/>
          <w:szCs w:val="20"/>
        </w:rPr>
        <w:t xml:space="preserve"> </w:t>
      </w:r>
      <w:proofErr w:type="gramStart"/>
      <w:r w:rsidRPr="00ED282B">
        <w:rPr>
          <w:rFonts w:ascii="Times New Roman" w:hAnsi="Times New Roman" w:cs="Times New Roman"/>
          <w:sz w:val="20"/>
          <w:szCs w:val="20"/>
        </w:rPr>
        <w:t>Ibid. at 6.</w:t>
      </w:r>
      <w:proofErr w:type="gramEnd"/>
    </w:p>
  </w:footnote>
  <w:footnote w:id="26">
    <w:p w:rsidR="00C31CA1" w:rsidRPr="00ED282B" w:rsidRDefault="00C31CA1">
      <w:pPr>
        <w:pStyle w:val="FootnoteText"/>
        <w:rPr>
          <w:rFonts w:ascii="Times New Roman" w:hAnsi="Times New Roman" w:cs="Times New Roman"/>
          <w:sz w:val="20"/>
          <w:szCs w:val="20"/>
        </w:rPr>
      </w:pPr>
      <w:r w:rsidRPr="00ED282B">
        <w:rPr>
          <w:rStyle w:val="FootnoteReference"/>
          <w:rFonts w:ascii="Times New Roman" w:hAnsi="Times New Roman" w:cs="Times New Roman"/>
          <w:sz w:val="20"/>
          <w:szCs w:val="20"/>
        </w:rPr>
        <w:footnoteRef/>
      </w:r>
      <w:r w:rsidRPr="00ED282B">
        <w:rPr>
          <w:rFonts w:ascii="Times New Roman" w:hAnsi="Times New Roman" w:cs="Times New Roman"/>
          <w:sz w:val="20"/>
          <w:szCs w:val="20"/>
        </w:rPr>
        <w:t xml:space="preserve"> Intervener IATA/NACC, </w:t>
      </w:r>
      <w:r w:rsidRPr="00ED282B">
        <w:rPr>
          <w:rFonts w:ascii="Times New Roman" w:hAnsi="Times New Roman" w:cs="Times New Roman"/>
          <w:i/>
          <w:sz w:val="20"/>
          <w:szCs w:val="20"/>
        </w:rPr>
        <w:t>supra</w:t>
      </w:r>
      <w:r w:rsidRPr="00ED282B">
        <w:rPr>
          <w:rFonts w:ascii="Times New Roman" w:hAnsi="Times New Roman" w:cs="Times New Roman"/>
          <w:sz w:val="20"/>
          <w:szCs w:val="20"/>
        </w:rPr>
        <w:t xml:space="preserve"> note 7 at 79. (This argument is made by the Defendant and addressed and disregarded by the IATA/NACC brief)</w:t>
      </w:r>
      <w:r>
        <w:rPr>
          <w:rFonts w:ascii="Times New Roman" w:hAnsi="Times New Roman" w:cs="Times New Roman"/>
          <w:sz w:val="20"/>
          <w:szCs w:val="20"/>
        </w:rPr>
        <w:t>.</w:t>
      </w:r>
    </w:p>
  </w:footnote>
  <w:footnote w:id="27">
    <w:p w:rsidR="00C31CA1" w:rsidRPr="00ED282B" w:rsidRDefault="00C31CA1" w:rsidP="000A765C">
      <w:pPr>
        <w:pStyle w:val="FootnoteText"/>
        <w:rPr>
          <w:rFonts w:ascii="Times New Roman" w:hAnsi="Times New Roman" w:cs="Times New Roman"/>
          <w:sz w:val="20"/>
          <w:szCs w:val="20"/>
        </w:rPr>
      </w:pPr>
      <w:r w:rsidRPr="00ED282B">
        <w:rPr>
          <w:rStyle w:val="FootnoteReference"/>
          <w:rFonts w:ascii="Times New Roman" w:hAnsi="Times New Roman" w:cs="Times New Roman"/>
          <w:sz w:val="20"/>
          <w:szCs w:val="20"/>
        </w:rPr>
        <w:footnoteRef/>
      </w:r>
      <w:r w:rsidRPr="00ED282B">
        <w:rPr>
          <w:rFonts w:ascii="Times New Roman" w:hAnsi="Times New Roman" w:cs="Times New Roman"/>
          <w:sz w:val="20"/>
          <w:szCs w:val="20"/>
        </w:rPr>
        <w:t xml:space="preserve"> </w:t>
      </w:r>
      <w:r>
        <w:rPr>
          <w:rFonts w:ascii="Times New Roman" w:hAnsi="Times New Roman" w:cs="Times New Roman"/>
          <w:sz w:val="20"/>
          <w:szCs w:val="20"/>
        </w:rPr>
        <w:t>US</w:t>
      </w:r>
      <w:r w:rsidRPr="00ED282B">
        <w:rPr>
          <w:rFonts w:ascii="Times New Roman" w:hAnsi="Times New Roman" w:cs="Times New Roman"/>
          <w:sz w:val="20"/>
          <w:szCs w:val="20"/>
        </w:rPr>
        <w:t xml:space="preserve">, Transportation and Infrastructure Committee, </w:t>
      </w:r>
      <w:r w:rsidRPr="00ED282B">
        <w:rPr>
          <w:rFonts w:ascii="Times New Roman" w:hAnsi="Times New Roman" w:cs="Times New Roman"/>
          <w:i/>
          <w:sz w:val="20"/>
          <w:szCs w:val="20"/>
        </w:rPr>
        <w:t>European Union Emissions Trading Scheme Prohibition Act of 2011</w:t>
      </w:r>
      <w:r w:rsidRPr="00ED282B">
        <w:rPr>
          <w:rFonts w:ascii="Times New Roman" w:hAnsi="Times New Roman" w:cs="Times New Roman"/>
          <w:sz w:val="20"/>
          <w:szCs w:val="20"/>
        </w:rPr>
        <w:t xml:space="preserve"> (H.R. Doc. No. 2594) (On 24 October, the US House of Representatives approved legislation which will make it illegal for US airlines to comply with the EU ETS scheme. The Senate will now need to vote on the bill before it is presented to the President for final signature into law.)</w:t>
      </w:r>
      <w:r>
        <w:rPr>
          <w:rFonts w:ascii="Times New Roman" w:hAnsi="Times New Roman" w:cs="Times New Roman"/>
          <w:sz w:val="20"/>
          <w:szCs w:val="20"/>
        </w:rPr>
        <w:t>.</w:t>
      </w:r>
    </w:p>
  </w:footnote>
  <w:footnote w:id="28">
    <w:p w:rsidR="00C31CA1" w:rsidRPr="0099705F" w:rsidRDefault="00C31CA1">
      <w:pPr>
        <w:pStyle w:val="FootnoteText"/>
      </w:pPr>
      <w:r w:rsidRPr="00ED282B">
        <w:rPr>
          <w:rStyle w:val="FootnoteReference"/>
          <w:rFonts w:ascii="Times New Roman" w:hAnsi="Times New Roman" w:cs="Times New Roman"/>
          <w:sz w:val="20"/>
          <w:szCs w:val="20"/>
        </w:rPr>
        <w:footnoteRef/>
      </w:r>
      <w:r w:rsidRPr="00ED282B">
        <w:rPr>
          <w:rFonts w:ascii="Times New Roman" w:hAnsi="Times New Roman" w:cs="Times New Roman"/>
          <w:sz w:val="20"/>
          <w:szCs w:val="20"/>
        </w:rPr>
        <w:t xml:space="preserve"> Second Intervener Defendant, </w:t>
      </w:r>
      <w:r w:rsidRPr="00ED282B">
        <w:rPr>
          <w:rFonts w:ascii="Times New Roman" w:hAnsi="Times New Roman" w:cs="Times New Roman"/>
          <w:i/>
          <w:sz w:val="20"/>
          <w:szCs w:val="20"/>
        </w:rPr>
        <w:t xml:space="preserve">supra </w:t>
      </w:r>
      <w:r w:rsidRPr="00ED282B">
        <w:rPr>
          <w:rFonts w:ascii="Times New Roman" w:hAnsi="Times New Roman" w:cs="Times New Roman"/>
          <w:sz w:val="20"/>
          <w:szCs w:val="20"/>
        </w:rPr>
        <w:t>note 8 at 2 (T</w:t>
      </w:r>
      <w:r>
        <w:rPr>
          <w:rFonts w:ascii="Times New Roman" w:hAnsi="Times New Roman" w:cs="Times New Roman"/>
          <w:sz w:val="20"/>
          <w:szCs w:val="20"/>
        </w:rPr>
        <w:t>he intervener also states that a</w:t>
      </w:r>
      <w:r w:rsidRPr="00ED282B">
        <w:rPr>
          <w:rFonts w:ascii="Times New Roman" w:hAnsi="Times New Roman" w:cs="Times New Roman"/>
          <w:sz w:val="20"/>
          <w:szCs w:val="20"/>
        </w:rPr>
        <w:t>lthough the ICAO has recently agreed “aspirational goals” for limiting emissions from international aviation, and to</w:t>
      </w:r>
      <w:r w:rsidRPr="0099705F">
        <w:rPr>
          <w:sz w:val="20"/>
          <w:szCs w:val="20"/>
        </w:rPr>
        <w:t xml:space="preserve"> accommodate national and regional market-based measures, no international system of regulation to limit or reduce emissions from international aviation has yet been agreed.</w:t>
      </w:r>
      <w:r>
        <w:rPr>
          <w:sz w:val="20"/>
          <w:szCs w:val="20"/>
        </w:rPr>
        <w:t>).</w:t>
      </w:r>
    </w:p>
  </w:footnote>
  <w:footnote w:id="29">
    <w:p w:rsidR="00C31CA1" w:rsidRDefault="00C31CA1" w:rsidP="000A765C">
      <w:pPr>
        <w:pStyle w:val="FootnoteText"/>
      </w:pPr>
      <w:r w:rsidRPr="00112B21">
        <w:rPr>
          <w:rStyle w:val="FootnoteReference"/>
          <w:rFonts w:ascii="Times New Roman" w:hAnsi="Times New Roman" w:cs="Times New Roman"/>
          <w:sz w:val="20"/>
          <w:szCs w:val="20"/>
        </w:rPr>
        <w:footnoteRef/>
      </w:r>
      <w:r w:rsidRPr="00112B21">
        <w:rPr>
          <w:rFonts w:ascii="Times New Roman" w:hAnsi="Times New Roman" w:cs="Times New Roman"/>
          <w:sz w:val="20"/>
          <w:szCs w:val="20"/>
        </w:rPr>
        <w:t xml:space="preserve"> EC, Council Directive 2008/101, </w:t>
      </w:r>
      <w:r w:rsidRPr="00112B21">
        <w:rPr>
          <w:rFonts w:ascii="Times New Roman" w:hAnsi="Times New Roman" w:cs="Times New Roman"/>
          <w:i/>
          <w:sz w:val="20"/>
          <w:szCs w:val="20"/>
        </w:rPr>
        <w:t xml:space="preserve">supra </w:t>
      </w:r>
      <w:r w:rsidRPr="00112B21">
        <w:rPr>
          <w:rFonts w:ascii="Times New Roman" w:hAnsi="Times New Roman" w:cs="Times New Roman"/>
          <w:sz w:val="20"/>
          <w:szCs w:val="20"/>
        </w:rPr>
        <w:t xml:space="preserve">note 1 at </w:t>
      </w:r>
      <w:r>
        <w:rPr>
          <w:rFonts w:ascii="Times New Roman" w:hAnsi="Times New Roman" w:cs="Times New Roman"/>
          <w:sz w:val="20"/>
          <w:szCs w:val="20"/>
        </w:rPr>
        <w:t>5.</w:t>
      </w:r>
    </w:p>
  </w:footnote>
  <w:footnote w:id="30">
    <w:p w:rsidR="00C31CA1" w:rsidRPr="003D5A76" w:rsidRDefault="00C31CA1" w:rsidP="000A765C">
      <w:pPr>
        <w:pStyle w:val="FootnoteText"/>
        <w:rPr>
          <w:rFonts w:ascii="Times New Roman" w:hAnsi="Times New Roman" w:cs="Times New Roman"/>
          <w:sz w:val="20"/>
          <w:szCs w:val="20"/>
        </w:rPr>
      </w:pPr>
      <w:r w:rsidRPr="003D5A76">
        <w:rPr>
          <w:rStyle w:val="FootnoteReference"/>
          <w:rFonts w:ascii="Times New Roman" w:hAnsi="Times New Roman" w:cs="Times New Roman"/>
          <w:sz w:val="20"/>
          <w:szCs w:val="20"/>
        </w:rPr>
        <w:footnoteRef/>
      </w:r>
      <w:r w:rsidRPr="003D5A76">
        <w:rPr>
          <w:rFonts w:ascii="Times New Roman" w:hAnsi="Times New Roman" w:cs="Times New Roman"/>
          <w:sz w:val="20"/>
          <w:szCs w:val="20"/>
        </w:rPr>
        <w:t xml:space="preserve"> Ibid.</w:t>
      </w:r>
    </w:p>
  </w:footnote>
  <w:footnote w:id="31">
    <w:p w:rsidR="00C31CA1" w:rsidRPr="003D5A76" w:rsidRDefault="00C31CA1">
      <w:pPr>
        <w:pStyle w:val="FootnoteText"/>
        <w:rPr>
          <w:rFonts w:ascii="Times New Roman" w:hAnsi="Times New Roman" w:cs="Times New Roman"/>
          <w:sz w:val="20"/>
          <w:szCs w:val="20"/>
        </w:rPr>
      </w:pPr>
      <w:r w:rsidRPr="003D5A76">
        <w:rPr>
          <w:rStyle w:val="FootnoteReference"/>
          <w:rFonts w:ascii="Times New Roman" w:hAnsi="Times New Roman" w:cs="Times New Roman"/>
          <w:sz w:val="20"/>
          <w:szCs w:val="20"/>
        </w:rPr>
        <w:footnoteRef/>
      </w:r>
      <w:r>
        <w:rPr>
          <w:rFonts w:ascii="Times New Roman" w:hAnsi="Times New Roman" w:cs="Times New Roman"/>
          <w:sz w:val="20"/>
          <w:szCs w:val="20"/>
        </w:rPr>
        <w:t xml:space="preserve"> Ibid. at </w:t>
      </w:r>
      <w:proofErr w:type="gramStart"/>
      <w:r w:rsidRPr="003D5A76">
        <w:rPr>
          <w:rFonts w:ascii="Times New Roman" w:hAnsi="Times New Roman" w:cs="Times New Roman"/>
          <w:sz w:val="20"/>
          <w:szCs w:val="20"/>
        </w:rPr>
        <w:t>19</w:t>
      </w:r>
      <w:r>
        <w:rPr>
          <w:rFonts w:ascii="Times New Roman" w:hAnsi="Times New Roman" w:cs="Times New Roman"/>
          <w:sz w:val="20"/>
          <w:szCs w:val="20"/>
        </w:rPr>
        <w:t>.;</w:t>
      </w:r>
      <w:proofErr w:type="gramEnd"/>
      <w:r>
        <w:rPr>
          <w:rFonts w:ascii="Times New Roman" w:hAnsi="Times New Roman" w:cs="Times New Roman"/>
          <w:sz w:val="20"/>
          <w:szCs w:val="20"/>
        </w:rPr>
        <w:t xml:space="preserve"> See also generally </w:t>
      </w:r>
      <w:r w:rsidRPr="00ED282B">
        <w:rPr>
          <w:rFonts w:ascii="Times New Roman" w:hAnsi="Times New Roman" w:cs="Times New Roman"/>
          <w:sz w:val="20"/>
          <w:szCs w:val="20"/>
        </w:rPr>
        <w:t xml:space="preserve">Intervener IATA/NACC, </w:t>
      </w:r>
      <w:r w:rsidRPr="00ED282B">
        <w:rPr>
          <w:rFonts w:ascii="Times New Roman" w:hAnsi="Times New Roman" w:cs="Times New Roman"/>
          <w:i/>
          <w:sz w:val="20"/>
          <w:szCs w:val="20"/>
        </w:rPr>
        <w:t>supra</w:t>
      </w:r>
      <w:r>
        <w:rPr>
          <w:rFonts w:ascii="Times New Roman" w:hAnsi="Times New Roman" w:cs="Times New Roman"/>
          <w:sz w:val="20"/>
          <w:szCs w:val="20"/>
        </w:rPr>
        <w:t xml:space="preserve"> note 7 (stating that the environment effects of climate change are insufficient to support the Directive). </w:t>
      </w:r>
    </w:p>
  </w:footnote>
  <w:footnote w:id="32">
    <w:p w:rsidR="00C31CA1" w:rsidRPr="00C750C5" w:rsidRDefault="00C31CA1">
      <w:pPr>
        <w:pStyle w:val="FootnoteText"/>
        <w:rPr>
          <w:rFonts w:ascii="Times New Roman" w:hAnsi="Times New Roman" w:cs="Times New Roman"/>
          <w:sz w:val="20"/>
          <w:szCs w:val="20"/>
        </w:rPr>
      </w:pPr>
      <w:r w:rsidRPr="003D5A76">
        <w:rPr>
          <w:rStyle w:val="FootnoteReference"/>
          <w:rFonts w:ascii="Times New Roman" w:hAnsi="Times New Roman" w:cs="Times New Roman"/>
          <w:sz w:val="20"/>
          <w:szCs w:val="20"/>
        </w:rPr>
        <w:footnoteRef/>
      </w:r>
      <w:r w:rsidRPr="003D5A76">
        <w:rPr>
          <w:rFonts w:ascii="Times New Roman" w:hAnsi="Times New Roman" w:cs="Times New Roman"/>
          <w:sz w:val="20"/>
          <w:szCs w:val="20"/>
        </w:rPr>
        <w:t xml:space="preserve"> </w:t>
      </w:r>
      <w:r>
        <w:rPr>
          <w:rFonts w:ascii="Times New Roman" w:hAnsi="Times New Roman" w:cs="Times New Roman"/>
          <w:sz w:val="20"/>
          <w:szCs w:val="20"/>
        </w:rPr>
        <w:t>M.L. Parry, O.F. Canziani &amp;</w:t>
      </w:r>
      <w:r w:rsidRPr="00C750C5">
        <w:rPr>
          <w:rFonts w:ascii="Times New Roman" w:hAnsi="Times New Roman" w:cs="Times New Roman"/>
          <w:sz w:val="20"/>
          <w:szCs w:val="20"/>
        </w:rPr>
        <w:t xml:space="preserve"> J.P. Palutikof</w:t>
      </w:r>
      <w:r>
        <w:rPr>
          <w:rFonts w:ascii="Times New Roman" w:hAnsi="Times New Roman" w:cs="Times New Roman"/>
          <w:sz w:val="20"/>
          <w:szCs w:val="20"/>
        </w:rPr>
        <w:t xml:space="preserve"> et al., </w:t>
      </w:r>
      <w:r w:rsidRPr="00C750C5">
        <w:rPr>
          <w:rFonts w:ascii="Times New Roman" w:hAnsi="Times New Roman" w:cs="Times New Roman"/>
          <w:i/>
          <w:sz w:val="20"/>
          <w:szCs w:val="20"/>
        </w:rPr>
        <w:t>Contribution of Working Group II to the Fourth Assessment Report of the Intergovernmental Panel on Climate Change</w:t>
      </w:r>
      <w:r>
        <w:rPr>
          <w:rFonts w:ascii="Times New Roman" w:hAnsi="Times New Roman" w:cs="Times New Roman"/>
          <w:sz w:val="20"/>
          <w:szCs w:val="20"/>
        </w:rPr>
        <w:t>, (</w:t>
      </w:r>
      <w:r w:rsidRPr="00C750C5">
        <w:rPr>
          <w:rFonts w:ascii="Times New Roman" w:hAnsi="Times New Roman" w:cs="Times New Roman"/>
          <w:sz w:val="20"/>
          <w:szCs w:val="20"/>
        </w:rPr>
        <w:t>Cambridge, UK</w:t>
      </w:r>
      <w:r>
        <w:rPr>
          <w:rFonts w:ascii="Times New Roman" w:hAnsi="Times New Roman" w:cs="Times New Roman"/>
          <w:sz w:val="20"/>
          <w:szCs w:val="20"/>
        </w:rPr>
        <w:t xml:space="preserve">, </w:t>
      </w:r>
      <w:r w:rsidRPr="00C750C5">
        <w:rPr>
          <w:rFonts w:ascii="Times New Roman" w:hAnsi="Times New Roman" w:cs="Times New Roman"/>
          <w:sz w:val="20"/>
          <w:szCs w:val="20"/>
        </w:rPr>
        <w:t xml:space="preserve">Cambridge University Press, </w:t>
      </w:r>
      <w:r>
        <w:rPr>
          <w:rFonts w:ascii="Times New Roman" w:hAnsi="Times New Roman" w:cs="Times New Roman"/>
          <w:sz w:val="20"/>
          <w:szCs w:val="20"/>
        </w:rPr>
        <w:t>2007) at 543-544.</w:t>
      </w:r>
    </w:p>
  </w:footnote>
  <w:footnote w:id="33">
    <w:p w:rsidR="00C31CA1" w:rsidRPr="003D5A76" w:rsidRDefault="00C31CA1" w:rsidP="007A7498">
      <w:pPr>
        <w:pStyle w:val="FootnoteText"/>
        <w:rPr>
          <w:rFonts w:ascii="Times New Roman" w:hAnsi="Times New Roman" w:cs="Times New Roman"/>
          <w:sz w:val="20"/>
          <w:szCs w:val="20"/>
        </w:rPr>
      </w:pPr>
      <w:r w:rsidRPr="003D5A76">
        <w:rPr>
          <w:rStyle w:val="FootnoteReference"/>
          <w:rFonts w:ascii="Times New Roman" w:hAnsi="Times New Roman" w:cs="Times New Roman"/>
          <w:sz w:val="20"/>
          <w:szCs w:val="20"/>
        </w:rPr>
        <w:footnoteRef/>
      </w:r>
      <w:r>
        <w:rPr>
          <w:rFonts w:ascii="Times New Roman" w:hAnsi="Times New Roman" w:cs="Times New Roman"/>
          <w:sz w:val="20"/>
          <w:szCs w:val="20"/>
        </w:rPr>
        <w:t xml:space="preserve"> Ibid. at 689-690.</w:t>
      </w:r>
    </w:p>
  </w:footnote>
  <w:footnote w:id="34">
    <w:p w:rsidR="00C31CA1" w:rsidRPr="003D5A76" w:rsidRDefault="00C31CA1">
      <w:pPr>
        <w:pStyle w:val="FootnoteText"/>
        <w:rPr>
          <w:rFonts w:ascii="Times New Roman" w:hAnsi="Times New Roman" w:cs="Times New Roman"/>
          <w:sz w:val="20"/>
          <w:szCs w:val="20"/>
        </w:rPr>
      </w:pPr>
      <w:r w:rsidRPr="003D5A76">
        <w:rPr>
          <w:rStyle w:val="FootnoteReference"/>
          <w:rFonts w:ascii="Times New Roman" w:hAnsi="Times New Roman" w:cs="Times New Roman"/>
          <w:sz w:val="20"/>
          <w:szCs w:val="20"/>
        </w:rPr>
        <w:footnoteRef/>
      </w:r>
      <w:r w:rsidRPr="003D5A76">
        <w:rPr>
          <w:rFonts w:ascii="Times New Roman" w:hAnsi="Times New Roman" w:cs="Times New Roman"/>
          <w:sz w:val="20"/>
          <w:szCs w:val="20"/>
        </w:rPr>
        <w:t xml:space="preserve"> </w:t>
      </w:r>
      <w:r w:rsidRPr="00AE5486">
        <w:rPr>
          <w:rFonts w:ascii="Times New Roman" w:hAnsi="Times New Roman" w:cs="Times New Roman"/>
          <w:sz w:val="20"/>
          <w:szCs w:val="20"/>
        </w:rPr>
        <w:t xml:space="preserve">Joyce E. </w:t>
      </w:r>
      <w:proofErr w:type="spellStart"/>
      <w:r w:rsidRPr="00AE5486">
        <w:rPr>
          <w:rFonts w:ascii="Times New Roman" w:hAnsi="Times New Roman" w:cs="Times New Roman"/>
          <w:sz w:val="20"/>
          <w:szCs w:val="20"/>
        </w:rPr>
        <w:t>Penner</w:t>
      </w:r>
      <w:proofErr w:type="spellEnd"/>
      <w:r>
        <w:rPr>
          <w:rFonts w:ascii="Times New Roman" w:hAnsi="Times New Roman" w:cs="Times New Roman"/>
          <w:sz w:val="20"/>
          <w:szCs w:val="20"/>
        </w:rPr>
        <w:t xml:space="preserve">, </w:t>
      </w:r>
      <w:r w:rsidRPr="00AE5486">
        <w:rPr>
          <w:rFonts w:ascii="Times New Roman" w:hAnsi="Times New Roman" w:cs="Times New Roman"/>
          <w:sz w:val="20"/>
          <w:szCs w:val="20"/>
        </w:rPr>
        <w:t>David H. Lister</w:t>
      </w:r>
      <w:r>
        <w:rPr>
          <w:rFonts w:ascii="Times New Roman" w:hAnsi="Times New Roman" w:cs="Times New Roman"/>
          <w:sz w:val="20"/>
          <w:szCs w:val="20"/>
        </w:rPr>
        <w:t xml:space="preserve"> &amp; </w:t>
      </w:r>
      <w:r w:rsidRPr="00AE5486">
        <w:rPr>
          <w:rFonts w:ascii="Times New Roman" w:hAnsi="Times New Roman" w:cs="Times New Roman"/>
          <w:sz w:val="20"/>
          <w:szCs w:val="20"/>
        </w:rPr>
        <w:t>David J. Griggs</w:t>
      </w:r>
      <w:r>
        <w:rPr>
          <w:rFonts w:ascii="Times New Roman" w:hAnsi="Times New Roman" w:cs="Times New Roman"/>
          <w:sz w:val="20"/>
          <w:szCs w:val="20"/>
        </w:rPr>
        <w:t xml:space="preserve"> et al., “</w:t>
      </w:r>
      <w:r w:rsidRPr="00655000">
        <w:rPr>
          <w:rFonts w:ascii="Times New Roman" w:hAnsi="Times New Roman" w:cs="Times New Roman"/>
          <w:sz w:val="20"/>
          <w:szCs w:val="20"/>
        </w:rPr>
        <w:t>Aviation and the Global Atmosphere</w:t>
      </w:r>
      <w:r>
        <w:rPr>
          <w:rFonts w:ascii="Times New Roman" w:hAnsi="Times New Roman" w:cs="Times New Roman"/>
          <w:sz w:val="20"/>
          <w:szCs w:val="20"/>
        </w:rPr>
        <w:t>” online: PCC Special Reports on Climate Change &lt;</w:t>
      </w:r>
      <w:r w:rsidRPr="00655000">
        <w:rPr>
          <w:rFonts w:ascii="Times New Roman" w:hAnsi="Times New Roman" w:cs="Times New Roman"/>
          <w:sz w:val="20"/>
          <w:szCs w:val="20"/>
        </w:rPr>
        <w:t>http://www.grida.no/publications/other/ipcc%5Fsr/?src=/climate/ipcc/aviation/index.htm</w:t>
      </w:r>
      <w:r>
        <w:rPr>
          <w:rFonts w:ascii="Times New Roman" w:hAnsi="Times New Roman" w:cs="Times New Roman"/>
          <w:sz w:val="20"/>
          <w:szCs w:val="20"/>
        </w:rPr>
        <w:t>&gt;.</w:t>
      </w:r>
    </w:p>
  </w:footnote>
  <w:footnote w:id="35">
    <w:p w:rsidR="00C31CA1" w:rsidRPr="002E59FF" w:rsidRDefault="00C31CA1" w:rsidP="00FC4831">
      <w:pPr>
        <w:pStyle w:val="FootnoteText"/>
        <w:rPr>
          <w:rFonts w:ascii="Times New Roman" w:hAnsi="Times New Roman" w:cs="Times New Roman"/>
          <w:sz w:val="20"/>
          <w:szCs w:val="20"/>
        </w:rPr>
      </w:pPr>
      <w:r w:rsidRPr="002E59FF">
        <w:rPr>
          <w:rStyle w:val="FootnoteReference"/>
          <w:rFonts w:ascii="Times New Roman" w:hAnsi="Times New Roman" w:cs="Times New Roman"/>
          <w:sz w:val="20"/>
          <w:szCs w:val="20"/>
        </w:rPr>
        <w:footnoteRef/>
      </w:r>
      <w:r w:rsidRPr="002E59FF">
        <w:rPr>
          <w:rFonts w:ascii="Times New Roman" w:hAnsi="Times New Roman" w:cs="Times New Roman"/>
          <w:sz w:val="20"/>
          <w:szCs w:val="20"/>
        </w:rPr>
        <w:t xml:space="preserve"> </w:t>
      </w:r>
      <w:r w:rsidRPr="00ED282B">
        <w:rPr>
          <w:rFonts w:ascii="Times New Roman" w:hAnsi="Times New Roman" w:cs="Times New Roman"/>
          <w:sz w:val="20"/>
          <w:szCs w:val="20"/>
        </w:rPr>
        <w:t xml:space="preserve">Intervener IATA/NACC, </w:t>
      </w:r>
      <w:r w:rsidRPr="00ED282B">
        <w:rPr>
          <w:rFonts w:ascii="Times New Roman" w:hAnsi="Times New Roman" w:cs="Times New Roman"/>
          <w:i/>
          <w:sz w:val="20"/>
          <w:szCs w:val="20"/>
        </w:rPr>
        <w:t>supra</w:t>
      </w:r>
      <w:r>
        <w:rPr>
          <w:rFonts w:ascii="Times New Roman" w:hAnsi="Times New Roman" w:cs="Times New Roman"/>
          <w:sz w:val="20"/>
          <w:szCs w:val="20"/>
        </w:rPr>
        <w:t xml:space="preserve"> note 7 at 61 citing GATT, </w:t>
      </w:r>
      <w:r w:rsidRPr="00FC4831">
        <w:rPr>
          <w:rFonts w:ascii="Times New Roman" w:hAnsi="Times New Roman" w:cs="Times New Roman"/>
          <w:i/>
          <w:sz w:val="20"/>
          <w:szCs w:val="20"/>
        </w:rPr>
        <w:t>Dispute Settlement Panel Report on United States Restrictions on Imports of Tuna</w:t>
      </w:r>
      <w:r>
        <w:rPr>
          <w:rFonts w:ascii="Times New Roman" w:hAnsi="Times New Roman" w:cs="Times New Roman"/>
          <w:sz w:val="20"/>
          <w:szCs w:val="20"/>
        </w:rPr>
        <w:t xml:space="preserve">, </w:t>
      </w:r>
      <w:r w:rsidRPr="002E59FF">
        <w:rPr>
          <w:rFonts w:ascii="Times New Roman" w:hAnsi="Times New Roman" w:cs="Times New Roman"/>
          <w:sz w:val="20"/>
          <w:szCs w:val="20"/>
        </w:rPr>
        <w:t>30 I.L.M. 1594 (16 June 1991)</w:t>
      </w:r>
      <w:r w:rsidR="001A1709">
        <w:rPr>
          <w:rFonts w:ascii="Times New Roman" w:hAnsi="Times New Roman" w:cs="Times New Roman"/>
          <w:sz w:val="20"/>
          <w:szCs w:val="20"/>
        </w:rPr>
        <w:t>.</w:t>
      </w:r>
    </w:p>
  </w:footnote>
  <w:footnote w:id="36">
    <w:p w:rsidR="00C31CA1" w:rsidRPr="002E59FF" w:rsidRDefault="00C31CA1" w:rsidP="006B4A6B">
      <w:pPr>
        <w:pStyle w:val="FootnoteText"/>
        <w:rPr>
          <w:rFonts w:ascii="Times New Roman" w:hAnsi="Times New Roman" w:cs="Times New Roman"/>
          <w:sz w:val="20"/>
          <w:szCs w:val="20"/>
        </w:rPr>
      </w:pPr>
      <w:r w:rsidRPr="002E59FF">
        <w:rPr>
          <w:rStyle w:val="FootnoteReference"/>
          <w:rFonts w:ascii="Times New Roman" w:hAnsi="Times New Roman" w:cs="Times New Roman"/>
          <w:sz w:val="20"/>
          <w:szCs w:val="20"/>
        </w:rPr>
        <w:footnoteRef/>
      </w:r>
      <w:r w:rsidRPr="002E59FF">
        <w:rPr>
          <w:rFonts w:ascii="Times New Roman" w:hAnsi="Times New Roman" w:cs="Times New Roman"/>
          <w:sz w:val="20"/>
          <w:szCs w:val="20"/>
        </w:rPr>
        <w:t xml:space="preserve"> Ibid</w:t>
      </w:r>
      <w:r>
        <w:rPr>
          <w:rFonts w:ascii="Times New Roman" w:hAnsi="Times New Roman" w:cs="Times New Roman"/>
          <w:sz w:val="20"/>
          <w:szCs w:val="20"/>
        </w:rPr>
        <w:t>.</w:t>
      </w:r>
    </w:p>
  </w:footnote>
  <w:footnote w:id="37">
    <w:p w:rsidR="00C31CA1" w:rsidRPr="00867CA0" w:rsidRDefault="00C31CA1">
      <w:pPr>
        <w:pStyle w:val="FootnoteText"/>
        <w:rPr>
          <w:rFonts w:ascii="Times New Roman" w:hAnsi="Times New Roman" w:cs="Times New Roman"/>
          <w:sz w:val="20"/>
          <w:szCs w:val="20"/>
        </w:rPr>
      </w:pPr>
      <w:r w:rsidRPr="00867CA0">
        <w:rPr>
          <w:rStyle w:val="FootnoteReference"/>
          <w:rFonts w:ascii="Times New Roman" w:hAnsi="Times New Roman" w:cs="Times New Roman"/>
          <w:sz w:val="20"/>
          <w:szCs w:val="20"/>
        </w:rPr>
        <w:footnoteRef/>
      </w:r>
      <w:r w:rsidRPr="00867CA0">
        <w:rPr>
          <w:rFonts w:ascii="Times New Roman" w:hAnsi="Times New Roman" w:cs="Times New Roman"/>
          <w:sz w:val="20"/>
          <w:szCs w:val="20"/>
        </w:rPr>
        <w:t xml:space="preserve"> </w:t>
      </w:r>
      <w:proofErr w:type="gramStart"/>
      <w:r w:rsidRPr="00867CA0">
        <w:rPr>
          <w:rFonts w:ascii="Times New Roman" w:hAnsi="Times New Roman" w:cs="Times New Roman"/>
          <w:sz w:val="20"/>
          <w:szCs w:val="20"/>
        </w:rPr>
        <w:t>Ibid at 61-62.</w:t>
      </w:r>
      <w:proofErr w:type="gramEnd"/>
    </w:p>
  </w:footnote>
  <w:footnote w:id="38">
    <w:p w:rsidR="00C31CA1" w:rsidRPr="00867CA0" w:rsidRDefault="00C31CA1">
      <w:pPr>
        <w:pStyle w:val="FootnoteText"/>
        <w:rPr>
          <w:rFonts w:ascii="Times New Roman" w:hAnsi="Times New Roman" w:cs="Times New Roman"/>
          <w:sz w:val="20"/>
          <w:szCs w:val="20"/>
        </w:rPr>
      </w:pPr>
      <w:r w:rsidRPr="00867CA0">
        <w:rPr>
          <w:rStyle w:val="FootnoteReference"/>
          <w:rFonts w:ascii="Times New Roman" w:hAnsi="Times New Roman" w:cs="Times New Roman"/>
          <w:sz w:val="20"/>
          <w:szCs w:val="20"/>
        </w:rPr>
        <w:footnoteRef/>
      </w:r>
      <w:r w:rsidRPr="00867CA0">
        <w:rPr>
          <w:rFonts w:ascii="Times New Roman" w:hAnsi="Times New Roman" w:cs="Times New Roman"/>
          <w:sz w:val="20"/>
          <w:szCs w:val="20"/>
        </w:rPr>
        <w:t xml:space="preserve"> </w:t>
      </w:r>
      <w:proofErr w:type="gramStart"/>
      <w:r w:rsidRPr="00867CA0">
        <w:rPr>
          <w:rFonts w:ascii="Times New Roman" w:hAnsi="Times New Roman" w:cs="Times New Roman"/>
          <w:sz w:val="20"/>
          <w:szCs w:val="20"/>
        </w:rPr>
        <w:t>Ibid at 62.</w:t>
      </w:r>
      <w:proofErr w:type="gramEnd"/>
      <w:r w:rsidRPr="00867CA0">
        <w:rPr>
          <w:rFonts w:ascii="Times New Roman" w:hAnsi="Times New Roman" w:cs="Times New Roman"/>
          <w:sz w:val="20"/>
          <w:szCs w:val="20"/>
        </w:rPr>
        <w:t xml:space="preserve"> (</w:t>
      </w:r>
      <w:proofErr w:type="gramStart"/>
      <w:r w:rsidRPr="00867CA0">
        <w:rPr>
          <w:rFonts w:ascii="Times New Roman" w:hAnsi="Times New Roman" w:cs="Times New Roman"/>
          <w:sz w:val="20"/>
          <w:szCs w:val="20"/>
        </w:rPr>
        <w:t>footnote</w:t>
      </w:r>
      <w:proofErr w:type="gramEnd"/>
      <w:r w:rsidRPr="00867CA0">
        <w:rPr>
          <w:rFonts w:ascii="Times New Roman" w:hAnsi="Times New Roman" w:cs="Times New Roman"/>
          <w:sz w:val="20"/>
          <w:szCs w:val="20"/>
        </w:rPr>
        <w:t xml:space="preserve"> 111 citing </w:t>
      </w:r>
      <w:r w:rsidRPr="00867CA0">
        <w:rPr>
          <w:rFonts w:ascii="Times New Roman" w:hAnsi="Times New Roman" w:cs="Times New Roman"/>
          <w:i/>
          <w:sz w:val="20"/>
          <w:szCs w:val="20"/>
        </w:rPr>
        <w:t>US-Import Prohibition of Certain Shrimp and Shrimp Products</w:t>
      </w:r>
      <w:r w:rsidRPr="00867CA0">
        <w:rPr>
          <w:rFonts w:ascii="Times New Roman" w:hAnsi="Times New Roman" w:cs="Times New Roman"/>
          <w:sz w:val="20"/>
          <w:szCs w:val="20"/>
        </w:rPr>
        <w:t xml:space="preserve"> paragraph 133, WT/DS58/AB/R (12 Oct 1998)</w:t>
      </w:r>
      <w:r w:rsidR="001A1709">
        <w:rPr>
          <w:rFonts w:ascii="Times New Roman" w:hAnsi="Times New Roman" w:cs="Times New Roman"/>
          <w:sz w:val="20"/>
          <w:szCs w:val="20"/>
        </w:rPr>
        <w:t>.</w:t>
      </w:r>
    </w:p>
  </w:footnote>
  <w:footnote w:id="39">
    <w:p w:rsidR="00C31CA1" w:rsidRPr="00867CA0" w:rsidRDefault="00C31CA1">
      <w:pPr>
        <w:pStyle w:val="FootnoteText"/>
        <w:rPr>
          <w:rFonts w:ascii="Times New Roman" w:hAnsi="Times New Roman" w:cs="Times New Roman"/>
          <w:sz w:val="20"/>
          <w:szCs w:val="20"/>
        </w:rPr>
      </w:pPr>
      <w:r w:rsidRPr="00867CA0">
        <w:rPr>
          <w:rStyle w:val="FootnoteReference"/>
          <w:rFonts w:ascii="Times New Roman" w:hAnsi="Times New Roman" w:cs="Times New Roman"/>
          <w:sz w:val="20"/>
          <w:szCs w:val="20"/>
        </w:rPr>
        <w:footnoteRef/>
      </w:r>
      <w:r w:rsidRPr="00867CA0">
        <w:rPr>
          <w:rFonts w:ascii="Times New Roman" w:hAnsi="Times New Roman" w:cs="Times New Roman"/>
          <w:sz w:val="20"/>
          <w:szCs w:val="20"/>
        </w:rPr>
        <w:t xml:space="preserve"> </w:t>
      </w:r>
      <w:r w:rsidRPr="00867CA0">
        <w:rPr>
          <w:rFonts w:ascii="Times New Roman" w:hAnsi="Times New Roman" w:cs="Times New Roman"/>
          <w:i/>
          <w:sz w:val="20"/>
          <w:szCs w:val="20"/>
        </w:rPr>
        <w:t xml:space="preserve">Air Transport Association of America and Others, </w:t>
      </w:r>
      <w:r w:rsidRPr="00867CA0">
        <w:rPr>
          <w:rFonts w:ascii="Times New Roman" w:hAnsi="Times New Roman" w:cs="Times New Roman"/>
          <w:sz w:val="20"/>
          <w:szCs w:val="20"/>
        </w:rPr>
        <w:t xml:space="preserve">Advisory Opinion, </w:t>
      </w:r>
      <w:r w:rsidRPr="00867CA0">
        <w:rPr>
          <w:rFonts w:ascii="Times New Roman" w:hAnsi="Times New Roman" w:cs="Times New Roman"/>
          <w:i/>
          <w:sz w:val="20"/>
          <w:szCs w:val="20"/>
        </w:rPr>
        <w:t xml:space="preserve">supra </w:t>
      </w:r>
      <w:r w:rsidRPr="00867CA0">
        <w:rPr>
          <w:rFonts w:ascii="Times New Roman" w:hAnsi="Times New Roman" w:cs="Times New Roman"/>
          <w:sz w:val="20"/>
          <w:szCs w:val="20"/>
        </w:rPr>
        <w:t>note 5 at 44-45.</w:t>
      </w:r>
      <w:r>
        <w:rPr>
          <w:rFonts w:ascii="Times New Roman" w:hAnsi="Times New Roman" w:cs="Times New Roman"/>
          <w:sz w:val="20"/>
          <w:szCs w:val="20"/>
        </w:rPr>
        <w:t xml:space="preserve"> (The Advocate General supports the Directive by relying on this concept although she does not specifically cite the Restatements.)</w:t>
      </w:r>
      <w:r w:rsidR="001A1709">
        <w:rPr>
          <w:rFonts w:ascii="Times New Roman" w:hAnsi="Times New Roman" w:cs="Times New Roman"/>
          <w:sz w:val="20"/>
          <w:szCs w:val="20"/>
        </w:rPr>
        <w:t>.</w:t>
      </w:r>
    </w:p>
  </w:footnote>
  <w:footnote w:id="40">
    <w:p w:rsidR="00C31CA1" w:rsidRPr="00710E51" w:rsidRDefault="00C31CA1" w:rsidP="006A66E7">
      <w:pPr>
        <w:pStyle w:val="FootnoteText"/>
        <w:rPr>
          <w:rFonts w:ascii="Times New Roman" w:hAnsi="Times New Roman" w:cs="Times New Roman"/>
          <w:sz w:val="20"/>
          <w:szCs w:val="20"/>
        </w:rPr>
      </w:pPr>
      <w:r w:rsidRPr="00867CA0">
        <w:rPr>
          <w:rStyle w:val="FootnoteReference"/>
          <w:rFonts w:ascii="Times New Roman" w:hAnsi="Times New Roman" w:cs="Times New Roman"/>
          <w:sz w:val="20"/>
          <w:szCs w:val="20"/>
        </w:rPr>
        <w:footnoteRef/>
      </w:r>
      <w:r w:rsidRPr="00867CA0">
        <w:rPr>
          <w:rFonts w:ascii="Times New Roman" w:hAnsi="Times New Roman" w:cs="Times New Roman"/>
          <w:sz w:val="20"/>
          <w:szCs w:val="20"/>
        </w:rPr>
        <w:t xml:space="preserve"> </w:t>
      </w:r>
      <w:r w:rsidRPr="00ED282B">
        <w:rPr>
          <w:rFonts w:ascii="Times New Roman" w:hAnsi="Times New Roman" w:cs="Times New Roman"/>
          <w:sz w:val="20"/>
          <w:szCs w:val="20"/>
        </w:rPr>
        <w:t xml:space="preserve">Second Intervener Defendant, </w:t>
      </w:r>
      <w:r w:rsidRPr="00ED282B">
        <w:rPr>
          <w:rFonts w:ascii="Times New Roman" w:hAnsi="Times New Roman" w:cs="Times New Roman"/>
          <w:i/>
          <w:sz w:val="20"/>
          <w:szCs w:val="20"/>
        </w:rPr>
        <w:t xml:space="preserve">supra </w:t>
      </w:r>
      <w:r w:rsidRPr="00ED282B">
        <w:rPr>
          <w:rFonts w:ascii="Times New Roman" w:hAnsi="Times New Roman" w:cs="Times New Roman"/>
          <w:sz w:val="20"/>
          <w:szCs w:val="20"/>
        </w:rPr>
        <w:t>note 8 at</w:t>
      </w:r>
      <w:r>
        <w:rPr>
          <w:rFonts w:ascii="Times New Roman" w:hAnsi="Times New Roman" w:cs="Times New Roman"/>
          <w:sz w:val="20"/>
          <w:szCs w:val="20"/>
        </w:rPr>
        <w:t xml:space="preserve"> 10. (The Second Intervener for the Defendant relies upon the </w:t>
      </w:r>
      <w:r>
        <w:rPr>
          <w:rFonts w:ascii="Times New Roman" w:hAnsi="Times New Roman" w:cs="Times New Roman"/>
          <w:i/>
          <w:sz w:val="20"/>
          <w:szCs w:val="20"/>
        </w:rPr>
        <w:t xml:space="preserve">Lotus </w:t>
      </w:r>
      <w:r>
        <w:rPr>
          <w:rFonts w:ascii="Times New Roman" w:hAnsi="Times New Roman" w:cs="Times New Roman"/>
          <w:sz w:val="20"/>
          <w:szCs w:val="20"/>
        </w:rPr>
        <w:t xml:space="preserve">case to reach this conclusion, </w:t>
      </w:r>
      <w:r>
        <w:rPr>
          <w:rFonts w:ascii="Times New Roman" w:hAnsi="Times New Roman" w:cs="Times New Roman"/>
          <w:i/>
          <w:sz w:val="20"/>
          <w:szCs w:val="20"/>
        </w:rPr>
        <w:t xml:space="preserve">supra </w:t>
      </w:r>
      <w:r>
        <w:rPr>
          <w:rFonts w:ascii="Times New Roman" w:hAnsi="Times New Roman" w:cs="Times New Roman"/>
          <w:sz w:val="20"/>
          <w:szCs w:val="20"/>
        </w:rPr>
        <w:t>note 12.)</w:t>
      </w:r>
      <w:r w:rsidR="001A1709">
        <w:rPr>
          <w:rFonts w:ascii="Times New Roman" w:hAnsi="Times New Roman" w:cs="Times New Roman"/>
          <w:sz w:val="20"/>
          <w:szCs w:val="20"/>
        </w:rPr>
        <w:t>.</w:t>
      </w:r>
    </w:p>
  </w:footnote>
  <w:footnote w:id="41">
    <w:p w:rsidR="00C31CA1" w:rsidRPr="00607BB2" w:rsidRDefault="00C31CA1" w:rsidP="00607BB2">
      <w:pPr>
        <w:pStyle w:val="FootnoteText"/>
        <w:rPr>
          <w:rFonts w:ascii="Times New Roman" w:hAnsi="Times New Roman" w:cs="Times New Roman"/>
          <w:sz w:val="20"/>
          <w:szCs w:val="20"/>
        </w:rPr>
      </w:pPr>
      <w:r w:rsidRPr="00607BB2">
        <w:rPr>
          <w:rStyle w:val="FootnoteReference"/>
          <w:rFonts w:ascii="Times New Roman" w:hAnsi="Times New Roman" w:cs="Times New Roman"/>
          <w:sz w:val="20"/>
          <w:szCs w:val="20"/>
        </w:rPr>
        <w:footnoteRef/>
      </w:r>
      <w:r w:rsidRPr="00607BB2">
        <w:rPr>
          <w:rFonts w:ascii="Times New Roman" w:hAnsi="Times New Roman" w:cs="Times New Roman"/>
          <w:sz w:val="20"/>
          <w:szCs w:val="20"/>
        </w:rPr>
        <w:t xml:space="preserve"> Ibid. at 10-11. See also EC, </w:t>
      </w:r>
      <w:r w:rsidRPr="00607BB2">
        <w:rPr>
          <w:rFonts w:ascii="Times New Roman" w:hAnsi="Times New Roman" w:cs="Times New Roman"/>
          <w:i/>
          <w:sz w:val="20"/>
          <w:szCs w:val="20"/>
        </w:rPr>
        <w:t xml:space="preserve">Council Regulation </w:t>
      </w:r>
      <w:r w:rsidRPr="00607BB2">
        <w:rPr>
          <w:rFonts w:ascii="Times New Roman" w:hAnsi="Times New Roman" w:cs="Times New Roman"/>
          <w:sz w:val="20"/>
          <w:szCs w:val="20"/>
        </w:rPr>
        <w:t xml:space="preserve">417/2002 </w:t>
      </w:r>
      <w:r w:rsidRPr="00607BB2">
        <w:rPr>
          <w:rFonts w:ascii="Times New Roman" w:hAnsi="Times New Roman" w:cs="Times New Roman"/>
          <w:i/>
          <w:sz w:val="20"/>
          <w:szCs w:val="20"/>
        </w:rPr>
        <w:t>of 18 February 2002 on the accelerated phasing-in of double hull or equivalent design requirements for single hull oil tankers and repealing Council Regulation (EC) No 2978/94</w:t>
      </w:r>
      <w:r w:rsidRPr="00607BB2">
        <w:rPr>
          <w:rFonts w:ascii="Times New Roman" w:hAnsi="Times New Roman" w:cs="Times New Roman"/>
          <w:sz w:val="20"/>
          <w:szCs w:val="20"/>
        </w:rPr>
        <w:t xml:space="preserve"> [2002] O.J.L. 64/1.  </w:t>
      </w:r>
      <w:proofErr w:type="gramStart"/>
      <w:r w:rsidRPr="00607BB2">
        <w:rPr>
          <w:rFonts w:ascii="Times New Roman" w:hAnsi="Times New Roman" w:cs="Times New Roman"/>
          <w:sz w:val="20"/>
          <w:szCs w:val="20"/>
        </w:rPr>
        <w:t xml:space="preserve">EC, </w:t>
      </w:r>
      <w:r w:rsidRPr="00607BB2">
        <w:rPr>
          <w:rFonts w:ascii="Times New Roman" w:hAnsi="Times New Roman" w:cs="Times New Roman"/>
          <w:i/>
          <w:sz w:val="20"/>
          <w:szCs w:val="20"/>
        </w:rPr>
        <w:t xml:space="preserve">Council Regulation </w:t>
      </w:r>
      <w:r w:rsidRPr="00607BB2">
        <w:rPr>
          <w:rFonts w:ascii="Times New Roman" w:hAnsi="Times New Roman" w:cs="Times New Roman"/>
          <w:sz w:val="20"/>
          <w:szCs w:val="20"/>
        </w:rPr>
        <w:t xml:space="preserve">1013/2006 </w:t>
      </w:r>
      <w:r w:rsidRPr="00607BB2">
        <w:rPr>
          <w:rFonts w:ascii="Times New Roman" w:hAnsi="Times New Roman" w:cs="Times New Roman"/>
          <w:i/>
          <w:sz w:val="20"/>
          <w:szCs w:val="20"/>
        </w:rPr>
        <w:t xml:space="preserve">of 14 June 2006 on shipments of waste; </w:t>
      </w:r>
      <w:r w:rsidRPr="00607BB2">
        <w:rPr>
          <w:rFonts w:ascii="Times New Roman" w:hAnsi="Times New Roman" w:cs="Times New Roman"/>
          <w:sz w:val="20"/>
          <w:szCs w:val="20"/>
        </w:rPr>
        <w:t>[2006] O.J.L. 318/15.</w:t>
      </w:r>
      <w:proofErr w:type="gramEnd"/>
      <w:r w:rsidRPr="00607BB2">
        <w:rPr>
          <w:rFonts w:ascii="Times New Roman" w:hAnsi="Times New Roman" w:cs="Times New Roman"/>
          <w:sz w:val="20"/>
          <w:szCs w:val="20"/>
        </w:rPr>
        <w:t xml:space="preserve">   (The Defendant Interveners cite </w:t>
      </w:r>
      <w:proofErr w:type="gramStart"/>
      <w:r w:rsidRPr="00607BB2">
        <w:rPr>
          <w:rFonts w:ascii="Times New Roman" w:hAnsi="Times New Roman" w:cs="Times New Roman"/>
          <w:sz w:val="20"/>
          <w:szCs w:val="20"/>
        </w:rPr>
        <w:t>these cases in support of the position that because the effects are experienced by a third country does not mean the regulation is</w:t>
      </w:r>
      <w:proofErr w:type="gramEnd"/>
      <w:r w:rsidRPr="00607BB2">
        <w:rPr>
          <w:rFonts w:ascii="Times New Roman" w:hAnsi="Times New Roman" w:cs="Times New Roman"/>
          <w:sz w:val="20"/>
          <w:szCs w:val="20"/>
        </w:rPr>
        <w:t xml:space="preserve"> an impermissible exercise of extraterritorial jurisdiction.)</w:t>
      </w:r>
      <w:r w:rsidR="001A1709">
        <w:rPr>
          <w:rFonts w:ascii="Times New Roman" w:hAnsi="Times New Roman" w:cs="Times New Roman"/>
          <w:sz w:val="20"/>
          <w:szCs w:val="20"/>
        </w:rPr>
        <w:t>.</w:t>
      </w:r>
    </w:p>
  </w:footnote>
  <w:footnote w:id="42">
    <w:p w:rsidR="00C31CA1" w:rsidRPr="00607BB2" w:rsidRDefault="00C31CA1" w:rsidP="00FD787D">
      <w:pPr>
        <w:pStyle w:val="FootnoteText"/>
        <w:rPr>
          <w:rFonts w:ascii="Times New Roman" w:hAnsi="Times New Roman" w:cs="Times New Roman"/>
          <w:sz w:val="20"/>
          <w:szCs w:val="20"/>
        </w:rPr>
      </w:pPr>
      <w:r w:rsidRPr="00607BB2">
        <w:rPr>
          <w:rStyle w:val="FootnoteReference"/>
          <w:rFonts w:ascii="Times New Roman" w:hAnsi="Times New Roman" w:cs="Times New Roman"/>
          <w:sz w:val="20"/>
          <w:szCs w:val="20"/>
        </w:rPr>
        <w:footnoteRef/>
      </w:r>
      <w:r w:rsidRPr="00607BB2">
        <w:rPr>
          <w:rFonts w:ascii="Times New Roman" w:hAnsi="Times New Roman" w:cs="Times New Roman"/>
          <w:sz w:val="20"/>
          <w:szCs w:val="20"/>
        </w:rPr>
        <w:t xml:space="preserve"> </w:t>
      </w:r>
      <w:r>
        <w:rPr>
          <w:rFonts w:ascii="Times New Roman" w:hAnsi="Times New Roman" w:cs="Times New Roman"/>
          <w:i/>
          <w:sz w:val="20"/>
          <w:szCs w:val="20"/>
        </w:rPr>
        <w:t xml:space="preserve">Supra </w:t>
      </w:r>
      <w:r>
        <w:rPr>
          <w:rFonts w:ascii="Times New Roman" w:hAnsi="Times New Roman" w:cs="Times New Roman"/>
          <w:sz w:val="20"/>
          <w:szCs w:val="20"/>
        </w:rPr>
        <w:t>note 27. (Describing a House measure to make compliance illegal)</w:t>
      </w:r>
      <w:r w:rsidR="001A1709">
        <w:rPr>
          <w:rFonts w:ascii="Times New Roman" w:hAnsi="Times New Roman" w:cs="Times New Roman"/>
          <w:sz w:val="20"/>
          <w:szCs w:val="20"/>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0916"/>
    <w:multiLevelType w:val="hybridMultilevel"/>
    <w:tmpl w:val="C7582EB6"/>
    <w:lvl w:ilvl="0" w:tplc="ABE6351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04D0EE4"/>
    <w:multiLevelType w:val="hybridMultilevel"/>
    <w:tmpl w:val="250ED676"/>
    <w:lvl w:ilvl="0" w:tplc="B0BEEA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B36515"/>
    <w:multiLevelType w:val="hybridMultilevel"/>
    <w:tmpl w:val="C6786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4C4179"/>
    <w:multiLevelType w:val="hybridMultilevel"/>
    <w:tmpl w:val="A5565D1A"/>
    <w:lvl w:ilvl="0" w:tplc="EBACDD2C">
      <w:start w:val="1"/>
      <w:numFmt w:val="lowerLetter"/>
      <w:lvlText w:val="(%1)"/>
      <w:lvlJc w:val="left"/>
      <w:pPr>
        <w:ind w:left="1760" w:hanging="10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47E3295"/>
    <w:multiLevelType w:val="hybridMultilevel"/>
    <w:tmpl w:val="AFEA31E2"/>
    <w:lvl w:ilvl="0" w:tplc="D5FE18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A8A4D53"/>
    <w:multiLevelType w:val="hybridMultilevel"/>
    <w:tmpl w:val="CC28ABD4"/>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savePreviewPicture/>
  <w:footnotePr>
    <w:footnote w:id="-1"/>
    <w:footnote w:id="0"/>
  </w:footnotePr>
  <w:endnotePr>
    <w:endnote w:id="-1"/>
    <w:endnote w:id="0"/>
  </w:endnotePr>
  <w:compat>
    <w:useFELayout/>
  </w:compat>
  <w:rsids>
    <w:rsidRoot w:val="00C353B8"/>
    <w:rsid w:val="00001C86"/>
    <w:rsid w:val="000073C0"/>
    <w:rsid w:val="0001150A"/>
    <w:rsid w:val="00025AC0"/>
    <w:rsid w:val="000423EA"/>
    <w:rsid w:val="00045465"/>
    <w:rsid w:val="00046675"/>
    <w:rsid w:val="00056EE5"/>
    <w:rsid w:val="00086AB1"/>
    <w:rsid w:val="00091D08"/>
    <w:rsid w:val="000A0D1F"/>
    <w:rsid w:val="000A765C"/>
    <w:rsid w:val="000B6687"/>
    <w:rsid w:val="000D261A"/>
    <w:rsid w:val="000E6BC5"/>
    <w:rsid w:val="000F1952"/>
    <w:rsid w:val="00100B17"/>
    <w:rsid w:val="00103644"/>
    <w:rsid w:val="00112B21"/>
    <w:rsid w:val="001223A3"/>
    <w:rsid w:val="00151AD1"/>
    <w:rsid w:val="00177934"/>
    <w:rsid w:val="001A1709"/>
    <w:rsid w:val="001C3ED9"/>
    <w:rsid w:val="001D1AA0"/>
    <w:rsid w:val="001D6A2D"/>
    <w:rsid w:val="001E4479"/>
    <w:rsid w:val="001F07AD"/>
    <w:rsid w:val="0020375A"/>
    <w:rsid w:val="0022241F"/>
    <w:rsid w:val="002263C0"/>
    <w:rsid w:val="00244E81"/>
    <w:rsid w:val="00262754"/>
    <w:rsid w:val="00264E36"/>
    <w:rsid w:val="002717CE"/>
    <w:rsid w:val="00284741"/>
    <w:rsid w:val="00295786"/>
    <w:rsid w:val="002A3B01"/>
    <w:rsid w:val="002A4B70"/>
    <w:rsid w:val="002B070C"/>
    <w:rsid w:val="002B7617"/>
    <w:rsid w:val="002D2D6A"/>
    <w:rsid w:val="002D7949"/>
    <w:rsid w:val="002E00BB"/>
    <w:rsid w:val="002E3952"/>
    <w:rsid w:val="002E59FF"/>
    <w:rsid w:val="002E5CEE"/>
    <w:rsid w:val="00315CE2"/>
    <w:rsid w:val="00323D3F"/>
    <w:rsid w:val="00340104"/>
    <w:rsid w:val="00342912"/>
    <w:rsid w:val="00344A79"/>
    <w:rsid w:val="00371ACA"/>
    <w:rsid w:val="0037249D"/>
    <w:rsid w:val="00391024"/>
    <w:rsid w:val="00394EAD"/>
    <w:rsid w:val="003A5C86"/>
    <w:rsid w:val="003B42F3"/>
    <w:rsid w:val="003C174E"/>
    <w:rsid w:val="003D5A76"/>
    <w:rsid w:val="003F6380"/>
    <w:rsid w:val="00402DF5"/>
    <w:rsid w:val="00410826"/>
    <w:rsid w:val="004126F4"/>
    <w:rsid w:val="004210F4"/>
    <w:rsid w:val="00426B55"/>
    <w:rsid w:val="004314AB"/>
    <w:rsid w:val="004349DE"/>
    <w:rsid w:val="00440126"/>
    <w:rsid w:val="00443B70"/>
    <w:rsid w:val="00462421"/>
    <w:rsid w:val="00466F7D"/>
    <w:rsid w:val="004840DA"/>
    <w:rsid w:val="00484719"/>
    <w:rsid w:val="00485F98"/>
    <w:rsid w:val="0048696E"/>
    <w:rsid w:val="004A17F9"/>
    <w:rsid w:val="004A51F5"/>
    <w:rsid w:val="004A6315"/>
    <w:rsid w:val="004A733D"/>
    <w:rsid w:val="004B2842"/>
    <w:rsid w:val="004D07B2"/>
    <w:rsid w:val="004D2DC5"/>
    <w:rsid w:val="004E0950"/>
    <w:rsid w:val="004F7147"/>
    <w:rsid w:val="00504091"/>
    <w:rsid w:val="005329CE"/>
    <w:rsid w:val="00566397"/>
    <w:rsid w:val="00573A90"/>
    <w:rsid w:val="00582E77"/>
    <w:rsid w:val="00590D28"/>
    <w:rsid w:val="00591745"/>
    <w:rsid w:val="00592CA8"/>
    <w:rsid w:val="005A1A6D"/>
    <w:rsid w:val="005A30E5"/>
    <w:rsid w:val="005A57E0"/>
    <w:rsid w:val="005B2407"/>
    <w:rsid w:val="005B7023"/>
    <w:rsid w:val="005B7ABE"/>
    <w:rsid w:val="005D02A4"/>
    <w:rsid w:val="005D161A"/>
    <w:rsid w:val="005D354A"/>
    <w:rsid w:val="005D473D"/>
    <w:rsid w:val="005D6C2A"/>
    <w:rsid w:val="005E33A3"/>
    <w:rsid w:val="005F1454"/>
    <w:rsid w:val="00604491"/>
    <w:rsid w:val="006048C2"/>
    <w:rsid w:val="0060671C"/>
    <w:rsid w:val="00607BB2"/>
    <w:rsid w:val="00610B94"/>
    <w:rsid w:val="00615DDA"/>
    <w:rsid w:val="006173CA"/>
    <w:rsid w:val="006303DF"/>
    <w:rsid w:val="006421E5"/>
    <w:rsid w:val="00646274"/>
    <w:rsid w:val="00655000"/>
    <w:rsid w:val="00665708"/>
    <w:rsid w:val="00665F4E"/>
    <w:rsid w:val="00672525"/>
    <w:rsid w:val="00672FDE"/>
    <w:rsid w:val="00674DD9"/>
    <w:rsid w:val="00684C6D"/>
    <w:rsid w:val="0069746C"/>
    <w:rsid w:val="006A3C8A"/>
    <w:rsid w:val="006A66E7"/>
    <w:rsid w:val="006B4A6B"/>
    <w:rsid w:val="006C7DEA"/>
    <w:rsid w:val="006F010C"/>
    <w:rsid w:val="006F43BB"/>
    <w:rsid w:val="006F61EA"/>
    <w:rsid w:val="006F634C"/>
    <w:rsid w:val="006F7713"/>
    <w:rsid w:val="00706869"/>
    <w:rsid w:val="00710E51"/>
    <w:rsid w:val="007144DB"/>
    <w:rsid w:val="00716F8B"/>
    <w:rsid w:val="007340D0"/>
    <w:rsid w:val="00735AFB"/>
    <w:rsid w:val="0074539C"/>
    <w:rsid w:val="00746965"/>
    <w:rsid w:val="00755F53"/>
    <w:rsid w:val="007567F1"/>
    <w:rsid w:val="0076056B"/>
    <w:rsid w:val="0076246A"/>
    <w:rsid w:val="007637BE"/>
    <w:rsid w:val="0077110B"/>
    <w:rsid w:val="00772E55"/>
    <w:rsid w:val="007A3189"/>
    <w:rsid w:val="007A7498"/>
    <w:rsid w:val="007D0B2B"/>
    <w:rsid w:val="007F7053"/>
    <w:rsid w:val="00821003"/>
    <w:rsid w:val="00830AA0"/>
    <w:rsid w:val="008359A4"/>
    <w:rsid w:val="00840E0C"/>
    <w:rsid w:val="00864854"/>
    <w:rsid w:val="0086544B"/>
    <w:rsid w:val="00867CA0"/>
    <w:rsid w:val="00882271"/>
    <w:rsid w:val="0088243B"/>
    <w:rsid w:val="00886DC1"/>
    <w:rsid w:val="008935A7"/>
    <w:rsid w:val="008B0D03"/>
    <w:rsid w:val="008B20A0"/>
    <w:rsid w:val="008C081C"/>
    <w:rsid w:val="008C1625"/>
    <w:rsid w:val="008D2CF0"/>
    <w:rsid w:val="008D2D9B"/>
    <w:rsid w:val="008E1DAF"/>
    <w:rsid w:val="008E42FE"/>
    <w:rsid w:val="008E4652"/>
    <w:rsid w:val="008E55BF"/>
    <w:rsid w:val="008E6CF1"/>
    <w:rsid w:val="008F70CA"/>
    <w:rsid w:val="0091679D"/>
    <w:rsid w:val="00916E9D"/>
    <w:rsid w:val="009213CD"/>
    <w:rsid w:val="0094187A"/>
    <w:rsid w:val="00945545"/>
    <w:rsid w:val="00962715"/>
    <w:rsid w:val="009662C0"/>
    <w:rsid w:val="00971DC3"/>
    <w:rsid w:val="00972979"/>
    <w:rsid w:val="00981EE5"/>
    <w:rsid w:val="00982442"/>
    <w:rsid w:val="0099705F"/>
    <w:rsid w:val="009B3338"/>
    <w:rsid w:val="009B5D57"/>
    <w:rsid w:val="009B62BB"/>
    <w:rsid w:val="009B7D6C"/>
    <w:rsid w:val="009C4BDD"/>
    <w:rsid w:val="009C7686"/>
    <w:rsid w:val="009C780C"/>
    <w:rsid w:val="009D5BA5"/>
    <w:rsid w:val="009F3225"/>
    <w:rsid w:val="009F3452"/>
    <w:rsid w:val="009F37B3"/>
    <w:rsid w:val="00A04F03"/>
    <w:rsid w:val="00A21E98"/>
    <w:rsid w:val="00A24A87"/>
    <w:rsid w:val="00A25C9F"/>
    <w:rsid w:val="00A444A6"/>
    <w:rsid w:val="00A57430"/>
    <w:rsid w:val="00A65FFD"/>
    <w:rsid w:val="00A67325"/>
    <w:rsid w:val="00A71ED1"/>
    <w:rsid w:val="00A82A72"/>
    <w:rsid w:val="00A875E6"/>
    <w:rsid w:val="00A91247"/>
    <w:rsid w:val="00AC141A"/>
    <w:rsid w:val="00AD7331"/>
    <w:rsid w:val="00AE5486"/>
    <w:rsid w:val="00AF017B"/>
    <w:rsid w:val="00AF36A7"/>
    <w:rsid w:val="00B10C67"/>
    <w:rsid w:val="00B12202"/>
    <w:rsid w:val="00B23880"/>
    <w:rsid w:val="00B27198"/>
    <w:rsid w:val="00B276BF"/>
    <w:rsid w:val="00B32EFD"/>
    <w:rsid w:val="00B33304"/>
    <w:rsid w:val="00B35D67"/>
    <w:rsid w:val="00B47A98"/>
    <w:rsid w:val="00B47CF5"/>
    <w:rsid w:val="00B5195B"/>
    <w:rsid w:val="00B667FB"/>
    <w:rsid w:val="00B71DA8"/>
    <w:rsid w:val="00B805FC"/>
    <w:rsid w:val="00B81120"/>
    <w:rsid w:val="00BB72C5"/>
    <w:rsid w:val="00BC1619"/>
    <w:rsid w:val="00BE63AB"/>
    <w:rsid w:val="00BF2D7E"/>
    <w:rsid w:val="00C25DA6"/>
    <w:rsid w:val="00C31CA1"/>
    <w:rsid w:val="00C353B8"/>
    <w:rsid w:val="00C42788"/>
    <w:rsid w:val="00C432B0"/>
    <w:rsid w:val="00C46144"/>
    <w:rsid w:val="00C666F7"/>
    <w:rsid w:val="00C750C5"/>
    <w:rsid w:val="00C80D89"/>
    <w:rsid w:val="00C8674B"/>
    <w:rsid w:val="00C941E0"/>
    <w:rsid w:val="00CA7833"/>
    <w:rsid w:val="00CB0832"/>
    <w:rsid w:val="00CB4F3A"/>
    <w:rsid w:val="00CB6460"/>
    <w:rsid w:val="00CC3CF6"/>
    <w:rsid w:val="00CD5006"/>
    <w:rsid w:val="00CD7B2C"/>
    <w:rsid w:val="00CE1D91"/>
    <w:rsid w:val="00CE4301"/>
    <w:rsid w:val="00D07359"/>
    <w:rsid w:val="00D360E0"/>
    <w:rsid w:val="00D37806"/>
    <w:rsid w:val="00D70192"/>
    <w:rsid w:val="00D85E6E"/>
    <w:rsid w:val="00D92AA1"/>
    <w:rsid w:val="00D94933"/>
    <w:rsid w:val="00DB0A2B"/>
    <w:rsid w:val="00DC0BEA"/>
    <w:rsid w:val="00DC47C8"/>
    <w:rsid w:val="00DD0FB7"/>
    <w:rsid w:val="00DE7986"/>
    <w:rsid w:val="00DF14A3"/>
    <w:rsid w:val="00E06B62"/>
    <w:rsid w:val="00E16494"/>
    <w:rsid w:val="00E225A4"/>
    <w:rsid w:val="00E230D5"/>
    <w:rsid w:val="00E41AAF"/>
    <w:rsid w:val="00E45172"/>
    <w:rsid w:val="00E56AF1"/>
    <w:rsid w:val="00E60B9C"/>
    <w:rsid w:val="00E70F0E"/>
    <w:rsid w:val="00E8444D"/>
    <w:rsid w:val="00E86DC7"/>
    <w:rsid w:val="00E95FB7"/>
    <w:rsid w:val="00EA15E4"/>
    <w:rsid w:val="00EA6480"/>
    <w:rsid w:val="00EB54B8"/>
    <w:rsid w:val="00EC2144"/>
    <w:rsid w:val="00EC4E5A"/>
    <w:rsid w:val="00EC6014"/>
    <w:rsid w:val="00ED282B"/>
    <w:rsid w:val="00EF3483"/>
    <w:rsid w:val="00F024B3"/>
    <w:rsid w:val="00F05BC9"/>
    <w:rsid w:val="00F07C93"/>
    <w:rsid w:val="00F12843"/>
    <w:rsid w:val="00F1476D"/>
    <w:rsid w:val="00F5012F"/>
    <w:rsid w:val="00F53EEE"/>
    <w:rsid w:val="00F6231F"/>
    <w:rsid w:val="00F63717"/>
    <w:rsid w:val="00F705BD"/>
    <w:rsid w:val="00FA5B22"/>
    <w:rsid w:val="00FA7989"/>
    <w:rsid w:val="00FB26CA"/>
    <w:rsid w:val="00FB3E62"/>
    <w:rsid w:val="00FC4831"/>
    <w:rsid w:val="00FC4C4F"/>
    <w:rsid w:val="00FD42C1"/>
    <w:rsid w:val="00FD787D"/>
    <w:rsid w:val="00FE7E18"/>
  </w:rsids>
  <m:mathPr>
    <m:mathFont m:val="Cambria Math"/>
    <m:brkBin m:val="before"/>
    <m:brkBinSub m:val="--"/>
    <m:smallFrac m:val="off"/>
    <m:dispDef/>
    <m:lMargin m:val="0"/>
    <m:rMargin m:val="0"/>
    <m:defJc m:val="centerGroup"/>
    <m:wrapIndent m:val="1440"/>
    <m:intLim m:val="subSup"/>
    <m:naryLim m:val="undOvr"/>
  </m:mathPr>
  <w:themeFontLang w:val="en-US" w:eastAsia="ja-JP" w:bidi="bn-B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D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90D28"/>
  </w:style>
  <w:style w:type="paragraph" w:customStyle="1" w:styleId="Default">
    <w:name w:val="Default"/>
    <w:rsid w:val="00F705BD"/>
    <w:pPr>
      <w:widowControl w:val="0"/>
      <w:autoSpaceDE w:val="0"/>
      <w:autoSpaceDN w:val="0"/>
      <w:adjustRightInd w:val="0"/>
    </w:pPr>
    <w:rPr>
      <w:rFonts w:ascii="EUAlbertina" w:hAnsi="EUAlbertina" w:cs="EUAlbertina"/>
      <w:color w:val="000000"/>
    </w:rPr>
  </w:style>
  <w:style w:type="paragraph" w:styleId="FootnoteText">
    <w:name w:val="footnote text"/>
    <w:basedOn w:val="Normal"/>
    <w:link w:val="FootnoteTextChar"/>
    <w:uiPriority w:val="99"/>
    <w:unhideWhenUsed/>
    <w:rsid w:val="00864854"/>
  </w:style>
  <w:style w:type="character" w:customStyle="1" w:styleId="FootnoteTextChar">
    <w:name w:val="Footnote Text Char"/>
    <w:basedOn w:val="DefaultParagraphFont"/>
    <w:link w:val="FootnoteText"/>
    <w:uiPriority w:val="99"/>
    <w:rsid w:val="00864854"/>
  </w:style>
  <w:style w:type="character" w:styleId="FootnoteReference">
    <w:name w:val="footnote reference"/>
    <w:basedOn w:val="DefaultParagraphFont"/>
    <w:uiPriority w:val="99"/>
    <w:unhideWhenUsed/>
    <w:rsid w:val="00864854"/>
    <w:rPr>
      <w:vertAlign w:val="superscript"/>
    </w:rPr>
  </w:style>
  <w:style w:type="character" w:styleId="CommentReference">
    <w:name w:val="annotation reference"/>
    <w:basedOn w:val="DefaultParagraphFont"/>
    <w:uiPriority w:val="99"/>
    <w:semiHidden/>
    <w:unhideWhenUsed/>
    <w:rsid w:val="00821003"/>
    <w:rPr>
      <w:sz w:val="18"/>
      <w:szCs w:val="18"/>
    </w:rPr>
  </w:style>
  <w:style w:type="paragraph" w:styleId="CommentText">
    <w:name w:val="annotation text"/>
    <w:basedOn w:val="Normal"/>
    <w:link w:val="CommentTextChar"/>
    <w:uiPriority w:val="99"/>
    <w:semiHidden/>
    <w:unhideWhenUsed/>
    <w:rsid w:val="00821003"/>
  </w:style>
  <w:style w:type="character" w:customStyle="1" w:styleId="CommentTextChar">
    <w:name w:val="Comment Text Char"/>
    <w:basedOn w:val="DefaultParagraphFont"/>
    <w:link w:val="CommentText"/>
    <w:uiPriority w:val="99"/>
    <w:semiHidden/>
    <w:rsid w:val="00821003"/>
  </w:style>
  <w:style w:type="paragraph" w:styleId="CommentSubject">
    <w:name w:val="annotation subject"/>
    <w:basedOn w:val="CommentText"/>
    <w:next w:val="CommentText"/>
    <w:link w:val="CommentSubjectChar"/>
    <w:uiPriority w:val="99"/>
    <w:semiHidden/>
    <w:unhideWhenUsed/>
    <w:rsid w:val="00821003"/>
    <w:rPr>
      <w:b/>
      <w:bCs/>
      <w:sz w:val="20"/>
      <w:szCs w:val="20"/>
    </w:rPr>
  </w:style>
  <w:style w:type="character" w:customStyle="1" w:styleId="CommentSubjectChar">
    <w:name w:val="Comment Subject Char"/>
    <w:basedOn w:val="CommentTextChar"/>
    <w:link w:val="CommentSubject"/>
    <w:uiPriority w:val="99"/>
    <w:semiHidden/>
    <w:rsid w:val="00821003"/>
    <w:rPr>
      <w:b/>
      <w:bCs/>
      <w:sz w:val="20"/>
      <w:szCs w:val="20"/>
    </w:rPr>
  </w:style>
  <w:style w:type="paragraph" w:styleId="BalloonText">
    <w:name w:val="Balloon Text"/>
    <w:basedOn w:val="Normal"/>
    <w:link w:val="BalloonTextChar"/>
    <w:uiPriority w:val="99"/>
    <w:semiHidden/>
    <w:unhideWhenUsed/>
    <w:rsid w:val="008210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21003"/>
    <w:rPr>
      <w:rFonts w:ascii="Lucida Grande" w:hAnsi="Lucida Grande" w:cs="Lucida Grande"/>
      <w:sz w:val="18"/>
      <w:szCs w:val="18"/>
    </w:rPr>
  </w:style>
  <w:style w:type="paragraph" w:styleId="Footer">
    <w:name w:val="footer"/>
    <w:basedOn w:val="Normal"/>
    <w:link w:val="FooterChar"/>
    <w:uiPriority w:val="99"/>
    <w:unhideWhenUsed/>
    <w:rsid w:val="006048C2"/>
    <w:pPr>
      <w:tabs>
        <w:tab w:val="center" w:pos="4320"/>
        <w:tab w:val="right" w:pos="8640"/>
      </w:tabs>
    </w:pPr>
  </w:style>
  <w:style w:type="character" w:customStyle="1" w:styleId="FooterChar">
    <w:name w:val="Footer Char"/>
    <w:basedOn w:val="DefaultParagraphFont"/>
    <w:link w:val="Footer"/>
    <w:uiPriority w:val="99"/>
    <w:rsid w:val="006048C2"/>
  </w:style>
  <w:style w:type="character" w:styleId="PageNumber">
    <w:name w:val="page number"/>
    <w:basedOn w:val="DefaultParagraphFont"/>
    <w:uiPriority w:val="99"/>
    <w:semiHidden/>
    <w:unhideWhenUsed/>
    <w:rsid w:val="006048C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90D28"/>
  </w:style>
  <w:style w:type="paragraph" w:customStyle="1" w:styleId="Default">
    <w:name w:val="Default"/>
    <w:rsid w:val="00F705BD"/>
    <w:pPr>
      <w:widowControl w:val="0"/>
      <w:autoSpaceDE w:val="0"/>
      <w:autoSpaceDN w:val="0"/>
      <w:adjustRightInd w:val="0"/>
    </w:pPr>
    <w:rPr>
      <w:rFonts w:ascii="EUAlbertina" w:hAnsi="EUAlbertina" w:cs="EUAlbertina"/>
      <w:color w:val="000000"/>
    </w:rPr>
  </w:style>
  <w:style w:type="paragraph" w:styleId="FootnoteText">
    <w:name w:val="footnote text"/>
    <w:basedOn w:val="Normal"/>
    <w:link w:val="FootnoteTextChar"/>
    <w:uiPriority w:val="99"/>
    <w:unhideWhenUsed/>
    <w:rsid w:val="00864854"/>
  </w:style>
  <w:style w:type="character" w:customStyle="1" w:styleId="FootnoteTextChar">
    <w:name w:val="Footnote Text Char"/>
    <w:basedOn w:val="DefaultParagraphFont"/>
    <w:link w:val="FootnoteText"/>
    <w:uiPriority w:val="99"/>
    <w:rsid w:val="00864854"/>
  </w:style>
  <w:style w:type="character" w:styleId="FootnoteReference">
    <w:name w:val="footnote reference"/>
    <w:basedOn w:val="DefaultParagraphFont"/>
    <w:uiPriority w:val="99"/>
    <w:unhideWhenUsed/>
    <w:rsid w:val="00864854"/>
    <w:rPr>
      <w:vertAlign w:val="superscript"/>
    </w:rPr>
  </w:style>
  <w:style w:type="character" w:styleId="CommentReference">
    <w:name w:val="annotation reference"/>
    <w:basedOn w:val="DefaultParagraphFont"/>
    <w:uiPriority w:val="99"/>
    <w:semiHidden/>
    <w:unhideWhenUsed/>
    <w:rsid w:val="00821003"/>
    <w:rPr>
      <w:sz w:val="18"/>
      <w:szCs w:val="18"/>
    </w:rPr>
  </w:style>
  <w:style w:type="paragraph" w:styleId="CommentText">
    <w:name w:val="annotation text"/>
    <w:basedOn w:val="Normal"/>
    <w:link w:val="CommentTextChar"/>
    <w:uiPriority w:val="99"/>
    <w:semiHidden/>
    <w:unhideWhenUsed/>
    <w:rsid w:val="00821003"/>
  </w:style>
  <w:style w:type="character" w:customStyle="1" w:styleId="CommentTextChar">
    <w:name w:val="Comment Text Char"/>
    <w:basedOn w:val="DefaultParagraphFont"/>
    <w:link w:val="CommentText"/>
    <w:uiPriority w:val="99"/>
    <w:semiHidden/>
    <w:rsid w:val="00821003"/>
  </w:style>
  <w:style w:type="paragraph" w:styleId="CommentSubject">
    <w:name w:val="annotation subject"/>
    <w:basedOn w:val="CommentText"/>
    <w:next w:val="CommentText"/>
    <w:link w:val="CommentSubjectChar"/>
    <w:uiPriority w:val="99"/>
    <w:semiHidden/>
    <w:unhideWhenUsed/>
    <w:rsid w:val="00821003"/>
    <w:rPr>
      <w:b/>
      <w:bCs/>
      <w:sz w:val="20"/>
      <w:szCs w:val="20"/>
    </w:rPr>
  </w:style>
  <w:style w:type="character" w:customStyle="1" w:styleId="CommentSubjectChar">
    <w:name w:val="Comment Subject Char"/>
    <w:basedOn w:val="CommentTextChar"/>
    <w:link w:val="CommentSubject"/>
    <w:uiPriority w:val="99"/>
    <w:semiHidden/>
    <w:rsid w:val="00821003"/>
    <w:rPr>
      <w:b/>
      <w:bCs/>
      <w:sz w:val="20"/>
      <w:szCs w:val="20"/>
    </w:rPr>
  </w:style>
  <w:style w:type="paragraph" w:styleId="BalloonText">
    <w:name w:val="Balloon Text"/>
    <w:basedOn w:val="Normal"/>
    <w:link w:val="BalloonTextChar"/>
    <w:uiPriority w:val="99"/>
    <w:semiHidden/>
    <w:unhideWhenUsed/>
    <w:rsid w:val="008210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21003"/>
    <w:rPr>
      <w:rFonts w:ascii="Lucida Grande" w:hAnsi="Lucida Grande" w:cs="Lucida Grande"/>
      <w:sz w:val="18"/>
      <w:szCs w:val="18"/>
    </w:rPr>
  </w:style>
  <w:style w:type="paragraph" w:styleId="Footer">
    <w:name w:val="footer"/>
    <w:basedOn w:val="Normal"/>
    <w:link w:val="FooterChar"/>
    <w:uiPriority w:val="99"/>
    <w:unhideWhenUsed/>
    <w:rsid w:val="006048C2"/>
    <w:pPr>
      <w:tabs>
        <w:tab w:val="center" w:pos="4320"/>
        <w:tab w:val="right" w:pos="8640"/>
      </w:tabs>
    </w:pPr>
  </w:style>
  <w:style w:type="character" w:customStyle="1" w:styleId="FooterChar">
    <w:name w:val="Footer Char"/>
    <w:basedOn w:val="DefaultParagraphFont"/>
    <w:link w:val="Footer"/>
    <w:uiPriority w:val="99"/>
    <w:rsid w:val="006048C2"/>
  </w:style>
  <w:style w:type="character" w:styleId="PageNumber">
    <w:name w:val="page number"/>
    <w:basedOn w:val="DefaultParagraphFont"/>
    <w:uiPriority w:val="99"/>
    <w:semiHidden/>
    <w:unhideWhenUsed/>
    <w:rsid w:val="006048C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4108</Words>
  <Characters>23416</Characters>
  <Application>Microsoft Office Word</Application>
  <DocSecurity>0</DocSecurity>
  <Lines>195</Lines>
  <Paragraphs>54</Paragraphs>
  <ScaleCrop>false</ScaleCrop>
  <Company/>
  <LinksUpToDate>false</LinksUpToDate>
  <CharactersWithSpaces>27470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Eytalis</dc:creator>
  <cp:keywords/>
  <dc:description/>
  <cp:lastModifiedBy>Jakhu</cp:lastModifiedBy>
  <cp:revision>2</cp:revision>
  <dcterms:created xsi:type="dcterms:W3CDTF">2011-11-08T18:26:00Z</dcterms:created>
  <dcterms:modified xsi:type="dcterms:W3CDTF">2011-11-08T18:26:00Z</dcterms:modified>
</cp:coreProperties>
</file>